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63469" w14:textId="032E8D42" w:rsidR="00462E90" w:rsidRPr="007970A7" w:rsidRDefault="00462E90" w:rsidP="00462E90">
      <w:pPr>
        <w:spacing w:before="120" w:after="120"/>
        <w:jc w:val="both"/>
        <w:rPr>
          <w:rFonts w:ascii="Noto Sans" w:hAnsi="Noto Sans" w:cs="Noto Sans"/>
          <w:b/>
          <w:bCs/>
          <w:sz w:val="20"/>
          <w:szCs w:val="20"/>
          <w:lang w:val="es-MX"/>
        </w:rPr>
      </w:pPr>
      <w:r w:rsidRPr="007970A7">
        <w:rPr>
          <w:rFonts w:ascii="Noto Sans" w:hAnsi="Noto Sans" w:cs="Noto Sans"/>
          <w:b/>
          <w:bCs/>
          <w:sz w:val="20"/>
          <w:szCs w:val="20"/>
          <w:lang w:val="es-MX"/>
        </w:rPr>
        <w:t>a) Descripción amplia y detallada de los servicios</w:t>
      </w:r>
      <w:r>
        <w:rPr>
          <w:rFonts w:ascii="Noto Sans" w:hAnsi="Noto Sans" w:cs="Noto Sans"/>
          <w:b/>
          <w:bCs/>
          <w:sz w:val="20"/>
          <w:szCs w:val="20"/>
          <w:lang w:val="es-MX"/>
        </w:rPr>
        <w:t>.</w:t>
      </w:r>
    </w:p>
    <w:p w14:paraId="16854C48" w14:textId="77777777" w:rsidR="00462E90" w:rsidRPr="007970A7" w:rsidRDefault="00462E90" w:rsidP="00462E90">
      <w:pPr>
        <w:numPr>
          <w:ilvl w:val="0"/>
          <w:numId w:val="37"/>
        </w:numPr>
        <w:spacing w:before="120" w:after="120"/>
        <w:ind w:left="360"/>
        <w:jc w:val="both"/>
        <w:textAlignment w:val="baseline"/>
        <w:rPr>
          <w:rFonts w:ascii="Noto Sans" w:hAnsi="Noto Sans" w:cs="Noto Sans"/>
          <w:b/>
          <w:bCs/>
          <w:sz w:val="20"/>
          <w:szCs w:val="20"/>
          <w:lang w:val="es-MX"/>
        </w:rPr>
      </w:pPr>
      <w:r w:rsidRPr="007970A7">
        <w:rPr>
          <w:rFonts w:ascii="Noto Sans" w:eastAsia="Times New Roman" w:hAnsi="Noto Sans" w:cs="Noto Sans"/>
          <w:b/>
          <w:bCs/>
          <w:color w:val="000000"/>
          <w:sz w:val="20"/>
          <w:szCs w:val="20"/>
          <w:lang w:val="es-MX" w:eastAsia="es-MX"/>
        </w:rPr>
        <w:t>Objeto</w:t>
      </w:r>
      <w:r w:rsidRPr="007970A7">
        <w:rPr>
          <w:rFonts w:ascii="Noto Sans" w:hAnsi="Noto Sans" w:cs="Noto Sans"/>
          <w:b/>
          <w:bCs/>
          <w:sz w:val="20"/>
          <w:szCs w:val="20"/>
          <w:lang w:val="es-MX"/>
        </w:rPr>
        <w:t xml:space="preserve"> del Servicio</w:t>
      </w:r>
    </w:p>
    <w:p w14:paraId="12CC191C" w14:textId="77777777" w:rsidR="00462E90" w:rsidRPr="00B22ABA" w:rsidRDefault="00462E90" w:rsidP="00462E90">
      <w:pPr>
        <w:ind w:left="-567" w:firstLine="708"/>
        <w:jc w:val="both"/>
        <w:rPr>
          <w:rFonts w:ascii="Noto Sans" w:hAnsi="Noto Sans" w:cs="Noto Sans"/>
          <w:b/>
          <w:bCs/>
          <w:sz w:val="10"/>
          <w:szCs w:val="10"/>
          <w:lang w:val="es-MX"/>
        </w:rPr>
      </w:pPr>
    </w:p>
    <w:p w14:paraId="3AEC0E6E" w14:textId="237A4430" w:rsidR="00462E90" w:rsidRDefault="00462E90" w:rsidP="00462E90">
      <w:pPr>
        <w:jc w:val="both"/>
        <w:rPr>
          <w:rFonts w:ascii="Noto Sans" w:hAnsi="Noto Sans" w:cs="Noto Sans"/>
          <w:b/>
          <w:bCs/>
          <w:sz w:val="20"/>
          <w:szCs w:val="20"/>
          <w:lang w:val="es-MX"/>
        </w:rPr>
      </w:pPr>
      <w:r w:rsidRPr="007970A7">
        <w:rPr>
          <w:rFonts w:ascii="Noto Sans" w:hAnsi="Noto Sans" w:cs="Noto Sans"/>
          <w:sz w:val="20"/>
          <w:szCs w:val="20"/>
          <w:lang w:val="es-MX"/>
        </w:rPr>
        <w:t xml:space="preserve">El Instituto Mexicano del Seguro Social (en lo sucesivo EL INSTITUTO); requiere la contratación de medios de comunicación </w:t>
      </w:r>
      <w:r w:rsidR="001C1D40">
        <w:rPr>
          <w:rFonts w:ascii="Noto Sans" w:hAnsi="Noto Sans" w:cs="Noto Sans"/>
          <w:sz w:val="20"/>
          <w:szCs w:val="20"/>
          <w:lang w:val="es-MX"/>
        </w:rPr>
        <w:t>digitales</w:t>
      </w:r>
      <w:r w:rsidRPr="007970A7">
        <w:rPr>
          <w:rFonts w:ascii="Noto Sans" w:hAnsi="Noto Sans" w:cs="Noto Sans"/>
          <w:sz w:val="20"/>
          <w:szCs w:val="20"/>
          <w:lang w:val="es-MX"/>
        </w:rPr>
        <w:t xml:space="preserve"> para la prestación del servicio de difusión de las Campañas </w:t>
      </w:r>
      <w:r w:rsidRPr="007970A7">
        <w:rPr>
          <w:rFonts w:ascii="Noto Sans" w:eastAsia="Times New Roman" w:hAnsi="Noto Sans" w:cs="Noto Sans"/>
          <w:color w:val="000000"/>
          <w:sz w:val="20"/>
          <w:szCs w:val="20"/>
          <w:lang w:val="es-MX" w:eastAsia="es-MX"/>
        </w:rPr>
        <w:t>Institucionales</w:t>
      </w:r>
      <w:r w:rsidRPr="007970A7">
        <w:rPr>
          <w:rFonts w:ascii="Noto Sans" w:hAnsi="Noto Sans" w:cs="Noto Sans"/>
          <w:sz w:val="20"/>
          <w:szCs w:val="20"/>
          <w:lang w:val="es-MX"/>
        </w:rPr>
        <w:t xml:space="preserve"> 202</w:t>
      </w:r>
      <w:r>
        <w:rPr>
          <w:rFonts w:ascii="Noto Sans" w:hAnsi="Noto Sans" w:cs="Noto Sans"/>
          <w:sz w:val="20"/>
          <w:szCs w:val="20"/>
          <w:lang w:val="es-MX"/>
        </w:rPr>
        <w:t>6</w:t>
      </w:r>
      <w:r w:rsidRPr="007970A7">
        <w:rPr>
          <w:rFonts w:ascii="Noto Sans" w:hAnsi="Noto Sans" w:cs="Noto Sans"/>
          <w:sz w:val="20"/>
          <w:szCs w:val="20"/>
          <w:lang w:val="es-MX"/>
        </w:rPr>
        <w:t>, contenidas en la Estrategia y Programa Anual de Comunicación Social autorizado para el presente ejercicio, durante el periodo comprendido entre el día natural siguiente a la notificación de la adjudicación y hasta el 31 de diciembre de 202</w:t>
      </w:r>
      <w:r>
        <w:rPr>
          <w:rFonts w:ascii="Noto Sans" w:hAnsi="Noto Sans" w:cs="Noto Sans"/>
          <w:sz w:val="20"/>
          <w:szCs w:val="20"/>
          <w:lang w:val="es-MX"/>
        </w:rPr>
        <w:t>6</w:t>
      </w:r>
      <w:r w:rsidRPr="007970A7">
        <w:rPr>
          <w:rFonts w:ascii="Noto Sans" w:hAnsi="Noto Sans" w:cs="Noto Sans"/>
          <w:b/>
          <w:bCs/>
          <w:sz w:val="20"/>
          <w:szCs w:val="20"/>
          <w:lang w:val="es-MX"/>
        </w:rPr>
        <w:t>.</w:t>
      </w:r>
    </w:p>
    <w:p w14:paraId="0CF261D7" w14:textId="77777777" w:rsidR="00462E90" w:rsidRPr="007970A7" w:rsidRDefault="00462E90" w:rsidP="00462E90">
      <w:pPr>
        <w:jc w:val="both"/>
        <w:rPr>
          <w:rFonts w:ascii="Noto Sans" w:hAnsi="Noto Sans" w:cs="Noto Sans"/>
          <w:b/>
          <w:bCs/>
          <w:sz w:val="20"/>
          <w:szCs w:val="20"/>
          <w:lang w:val="es-MX"/>
        </w:rPr>
      </w:pPr>
    </w:p>
    <w:p w14:paraId="49A01A58" w14:textId="77777777" w:rsidR="00462E90" w:rsidRPr="007970A7" w:rsidRDefault="00462E90" w:rsidP="00462E90">
      <w:pPr>
        <w:numPr>
          <w:ilvl w:val="0"/>
          <w:numId w:val="37"/>
        </w:numPr>
        <w:spacing w:before="120" w:after="120"/>
        <w:ind w:left="360"/>
        <w:jc w:val="both"/>
        <w:textAlignment w:val="baseline"/>
        <w:rPr>
          <w:rFonts w:ascii="Noto Sans" w:hAnsi="Noto Sans" w:cs="Noto Sans"/>
          <w:b/>
          <w:bCs/>
          <w:sz w:val="20"/>
          <w:szCs w:val="20"/>
          <w:lang w:val="es-MX"/>
        </w:rPr>
      </w:pPr>
      <w:r w:rsidRPr="007970A7">
        <w:rPr>
          <w:rFonts w:ascii="Noto Sans" w:eastAsia="Times New Roman" w:hAnsi="Noto Sans" w:cs="Noto Sans"/>
          <w:b/>
          <w:bCs/>
          <w:color w:val="000000"/>
          <w:sz w:val="20"/>
          <w:szCs w:val="20"/>
          <w:lang w:val="es-MX" w:eastAsia="es-MX"/>
        </w:rPr>
        <w:t>Características</w:t>
      </w:r>
      <w:r w:rsidRPr="007970A7">
        <w:rPr>
          <w:rFonts w:ascii="Noto Sans" w:hAnsi="Noto Sans" w:cs="Noto Sans"/>
          <w:b/>
          <w:bCs/>
          <w:sz w:val="20"/>
          <w:szCs w:val="20"/>
          <w:lang w:val="es-MX"/>
        </w:rPr>
        <w:t xml:space="preserve"> del Servicio</w:t>
      </w:r>
    </w:p>
    <w:p w14:paraId="1E1F8660" w14:textId="77777777" w:rsidR="00462E90" w:rsidRPr="00B22ABA" w:rsidRDefault="00462E90" w:rsidP="00462E90">
      <w:pPr>
        <w:ind w:left="-567"/>
        <w:jc w:val="both"/>
        <w:rPr>
          <w:rFonts w:ascii="Noto Sans" w:hAnsi="Noto Sans" w:cs="Noto Sans"/>
          <w:b/>
          <w:bCs/>
          <w:sz w:val="10"/>
          <w:szCs w:val="10"/>
          <w:lang w:val="es-MX"/>
        </w:rPr>
      </w:pPr>
    </w:p>
    <w:p w14:paraId="3A72D3A3" w14:textId="77777777" w:rsidR="00462E90" w:rsidRDefault="00462E90" w:rsidP="00462E90">
      <w:pPr>
        <w:jc w:val="both"/>
        <w:rPr>
          <w:rFonts w:ascii="Noto Sans" w:hAnsi="Noto Sans" w:cs="Noto Sans"/>
          <w:sz w:val="20"/>
          <w:szCs w:val="20"/>
          <w:lang w:val="es-MX"/>
        </w:rPr>
      </w:pPr>
      <w:r w:rsidRPr="007970A7">
        <w:rPr>
          <w:rFonts w:ascii="Noto Sans" w:hAnsi="Noto Sans" w:cs="Noto Sans"/>
          <w:sz w:val="20"/>
          <w:szCs w:val="20"/>
          <w:lang w:val="es-MX"/>
        </w:rPr>
        <w:t>EL INSTITUTO, a través de la Unidad de Comunicación Social, tiene la obligación de cumplir con la difusión de las campañas autorizadas y contenidas en la Estrategia y Programa Anual de Comunicación Social, para lo cual requiere de la contratación, a través de contratos abiertos con montos mínimos y máximos, de empresas (en lo sucesivo EL PROVEEDOR) que aseguren que los mensajes institucionales llegarán tanto al público derechohabiente como al público en general.</w:t>
      </w:r>
    </w:p>
    <w:p w14:paraId="1B96B1D4" w14:textId="77777777" w:rsidR="00462E90" w:rsidRPr="007970A7" w:rsidRDefault="00462E90" w:rsidP="00462E90">
      <w:pPr>
        <w:jc w:val="both"/>
        <w:rPr>
          <w:rFonts w:ascii="Noto Sans" w:hAnsi="Noto Sans" w:cs="Noto Sans"/>
          <w:sz w:val="20"/>
          <w:szCs w:val="20"/>
          <w:lang w:val="es-MX"/>
        </w:rPr>
      </w:pPr>
    </w:p>
    <w:p w14:paraId="622DE7FC" w14:textId="77777777" w:rsidR="00462E90" w:rsidRDefault="00462E90" w:rsidP="00462E90">
      <w:pPr>
        <w:spacing w:before="120" w:after="120"/>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2.1 </w:t>
      </w:r>
      <w:r w:rsidRPr="007970A7">
        <w:rPr>
          <w:rFonts w:ascii="Noto Sans" w:hAnsi="Noto Sans" w:cs="Noto Sans"/>
          <w:sz w:val="20"/>
          <w:szCs w:val="20"/>
          <w:lang w:val="es-MX"/>
        </w:rPr>
        <w:tab/>
        <w:t>Las campañas Institucionales 202</w:t>
      </w:r>
      <w:r>
        <w:rPr>
          <w:rFonts w:ascii="Noto Sans" w:hAnsi="Noto Sans" w:cs="Noto Sans"/>
          <w:sz w:val="20"/>
          <w:szCs w:val="20"/>
          <w:lang w:val="es-MX"/>
        </w:rPr>
        <w:t>6</w:t>
      </w:r>
      <w:r w:rsidRPr="007970A7">
        <w:rPr>
          <w:rFonts w:ascii="Noto Sans" w:hAnsi="Noto Sans" w:cs="Noto Sans"/>
          <w:sz w:val="20"/>
          <w:szCs w:val="20"/>
          <w:lang w:val="es-MX"/>
        </w:rPr>
        <w:t>, contenidas en la Estrategia y Programa Anual de Comunicación Social de EL INSTITUTO, serán difundidas durante la vigencia del servicio, en los espacios publicitarios con los que EL PROVEEDOR cuenta.</w:t>
      </w:r>
    </w:p>
    <w:p w14:paraId="0DD8BBA8" w14:textId="77777777" w:rsidR="00462E90" w:rsidRPr="007970A7" w:rsidRDefault="00462E90" w:rsidP="00462E90">
      <w:pPr>
        <w:spacing w:before="120" w:after="120"/>
        <w:ind w:firstLine="284"/>
        <w:jc w:val="both"/>
        <w:textAlignment w:val="baseline"/>
        <w:rPr>
          <w:rFonts w:ascii="Noto Sans" w:hAnsi="Noto Sans" w:cs="Noto Sans"/>
          <w:sz w:val="20"/>
          <w:szCs w:val="20"/>
          <w:lang w:val="es-MX"/>
        </w:rPr>
      </w:pPr>
    </w:p>
    <w:p w14:paraId="16298B3C" w14:textId="77777777" w:rsidR="00462E90" w:rsidRDefault="00462E90" w:rsidP="00462E90">
      <w:pPr>
        <w:spacing w:before="120" w:after="120"/>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2.2 </w:t>
      </w:r>
      <w:r w:rsidRPr="007970A7">
        <w:rPr>
          <w:rFonts w:ascii="Noto Sans" w:hAnsi="Noto Sans" w:cs="Noto Sans"/>
          <w:sz w:val="20"/>
          <w:szCs w:val="20"/>
          <w:lang w:val="es-MX"/>
        </w:rPr>
        <w:tab/>
        <w:t xml:space="preserve">EL INSTITUTO es propietario y responsable del contenido de los mensajes cuya difusión es objeto de la prestación de los servicios pactados en el contrato y manifiesta que no contravienen la legislación en materia de salud, la moral, las buenas costumbres, el orden público o derecho de terceros. </w:t>
      </w:r>
    </w:p>
    <w:p w14:paraId="52CF4AB9" w14:textId="77777777" w:rsidR="00462E90" w:rsidRPr="007970A7"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Cualquier modificación al contenido o diseño de los mensajes a difundir deberá ser autorizado por escrito por la Coordinación Técnica de Difusión de la Unidad de Comunicación Social, en caso de contravención a lo aquí estipulado EL PROVEEDOR se hará acreedor a la imposición de las sanciones que se estipulan en el contrato correspondiente, además tendrá la obligación de difundir el mensaje en la forma originalmente pactada y detallada en las órdenes de servicio correspondientes.  </w:t>
      </w:r>
    </w:p>
    <w:p w14:paraId="75727172" w14:textId="77777777" w:rsidR="00462E90"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Por lo anterior, EL INSTITUTO es el único responsable del contenido de los materiales, quedando EL PROVEEDOR en paz y a salvo de cualquier reclamación realizada por cualquier tercero, incluyendo multa, infracción o suspensión del servicio contratado que surja como resultado del material, comprometiéndose EL INSTITUTO a cubrir las cantidades que resulten de dicha reclamación.</w:t>
      </w:r>
    </w:p>
    <w:p w14:paraId="4277253D" w14:textId="76C04DDC" w:rsidR="00462E90" w:rsidRPr="007970A7" w:rsidRDefault="00E04CDC" w:rsidP="00E04CDC">
      <w:pPr>
        <w:tabs>
          <w:tab w:val="left" w:pos="7680"/>
        </w:tabs>
        <w:spacing w:before="120" w:after="120"/>
        <w:jc w:val="both"/>
        <w:textAlignment w:val="baseline"/>
        <w:rPr>
          <w:rFonts w:ascii="Noto Sans" w:hAnsi="Noto Sans" w:cs="Noto Sans"/>
          <w:sz w:val="20"/>
          <w:szCs w:val="20"/>
          <w:lang w:val="es-MX"/>
        </w:rPr>
      </w:pPr>
      <w:r>
        <w:rPr>
          <w:rFonts w:ascii="Noto Sans" w:hAnsi="Noto Sans" w:cs="Noto Sans"/>
          <w:sz w:val="20"/>
          <w:szCs w:val="20"/>
          <w:lang w:val="es-MX"/>
        </w:rPr>
        <w:lastRenderedPageBreak/>
        <w:tab/>
      </w:r>
    </w:p>
    <w:p w14:paraId="6FDC74B1" w14:textId="77777777" w:rsidR="00462E90" w:rsidRDefault="00462E90" w:rsidP="00462E90">
      <w:pPr>
        <w:spacing w:before="120" w:after="120"/>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2.3 </w:t>
      </w:r>
      <w:r w:rsidRPr="007970A7">
        <w:rPr>
          <w:rFonts w:ascii="Noto Sans" w:hAnsi="Noto Sans" w:cs="Noto Sans"/>
          <w:sz w:val="20"/>
          <w:szCs w:val="20"/>
          <w:lang w:val="es-MX"/>
        </w:rPr>
        <w:tab/>
        <w:t>Para el cumplimiento del objeto del contrato, EL INSTITUTO pondrá a disposición de EL PROVEEDOR el repositorio para transferencia de archivos en línea que EL INSTITUTO determine para su uso, desde donde EL PROVEEDOR podrá descargar los materiales de las campañas institucionales 202</w:t>
      </w:r>
      <w:r>
        <w:rPr>
          <w:rFonts w:ascii="Noto Sans" w:hAnsi="Noto Sans" w:cs="Noto Sans"/>
          <w:sz w:val="20"/>
          <w:szCs w:val="20"/>
          <w:lang w:val="es-MX"/>
        </w:rPr>
        <w:t>6</w:t>
      </w:r>
      <w:r w:rsidRPr="007970A7">
        <w:rPr>
          <w:rFonts w:ascii="Noto Sans" w:hAnsi="Noto Sans" w:cs="Noto Sans"/>
          <w:sz w:val="20"/>
          <w:szCs w:val="20"/>
          <w:lang w:val="es-MX"/>
        </w:rPr>
        <w:t xml:space="preserve"> para su difusión.</w:t>
      </w:r>
    </w:p>
    <w:p w14:paraId="7B909496" w14:textId="77777777" w:rsidR="00462E90" w:rsidRPr="007970A7" w:rsidRDefault="00462E90" w:rsidP="00462E90">
      <w:pPr>
        <w:spacing w:before="120" w:after="120"/>
        <w:ind w:firstLine="284"/>
        <w:jc w:val="both"/>
        <w:textAlignment w:val="baseline"/>
        <w:rPr>
          <w:rFonts w:ascii="Noto Sans" w:hAnsi="Noto Sans" w:cs="Noto Sans"/>
          <w:sz w:val="20"/>
          <w:szCs w:val="20"/>
          <w:lang w:val="es-MX"/>
        </w:rPr>
      </w:pPr>
    </w:p>
    <w:p w14:paraId="77759AD7" w14:textId="77777777" w:rsidR="00462E90" w:rsidRPr="007970A7" w:rsidRDefault="00462E90" w:rsidP="00462E90">
      <w:pPr>
        <w:spacing w:before="120" w:after="120"/>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2.4 </w:t>
      </w:r>
      <w:r w:rsidRPr="007970A7">
        <w:rPr>
          <w:rFonts w:ascii="Noto Sans" w:hAnsi="Noto Sans" w:cs="Noto Sans"/>
          <w:sz w:val="20"/>
          <w:szCs w:val="20"/>
          <w:lang w:val="es-MX"/>
        </w:rPr>
        <w:tab/>
        <w:t>EL PROVEEDOR  se obliga a difundir las campañas Institucionales 202</w:t>
      </w:r>
      <w:r>
        <w:rPr>
          <w:rFonts w:ascii="Noto Sans" w:hAnsi="Noto Sans" w:cs="Noto Sans"/>
          <w:sz w:val="20"/>
          <w:szCs w:val="20"/>
          <w:lang w:val="es-MX"/>
        </w:rPr>
        <w:t>6</w:t>
      </w:r>
      <w:r w:rsidRPr="007970A7">
        <w:rPr>
          <w:rFonts w:ascii="Noto Sans" w:hAnsi="Noto Sans" w:cs="Noto Sans"/>
          <w:sz w:val="20"/>
          <w:szCs w:val="20"/>
          <w:lang w:val="es-MX"/>
        </w:rPr>
        <w:t>, en los espacios publicitarios, con los que en la actualidad cuenta o representa o formen parte del mismo y en los que en un futuro represente, lo anterior, a indicación expresa de EL INSTITUTO, por conducto de la Coordinación Técnica de Difusión a través del administrador del contrato, mediante las órdenes de servicio correspondientes, atendiendo todas las especificaciones contenidas en ésta y observaciones hechas por la Coordinación Técnica de Difusión relativas a la difusión de las campañas institucionales 202</w:t>
      </w:r>
      <w:r>
        <w:rPr>
          <w:rFonts w:ascii="Noto Sans" w:hAnsi="Noto Sans" w:cs="Noto Sans"/>
          <w:sz w:val="20"/>
          <w:szCs w:val="20"/>
          <w:lang w:val="es-MX"/>
        </w:rPr>
        <w:t>6</w:t>
      </w:r>
      <w:r w:rsidRPr="007970A7">
        <w:rPr>
          <w:rFonts w:ascii="Noto Sans" w:hAnsi="Noto Sans" w:cs="Noto Sans"/>
          <w:sz w:val="20"/>
          <w:szCs w:val="20"/>
          <w:lang w:val="es-MX"/>
        </w:rPr>
        <w:t>.</w:t>
      </w:r>
    </w:p>
    <w:p w14:paraId="75C223B6" w14:textId="77777777" w:rsidR="00462E90"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Para el caso de que EL PROVEEDOR adquiriera, desarrolle o incorpore algún otro espacio publicitario que a la firma del presente no tenía, lo comunicará por escrito al Titular de la Coordinación Técnica de Difusión de la Unidad de Comunicación Social, anexando las tarifas respectivas, a fin de que EL INSTITUTO considere, con base en las necesidades de difusión, la posibilidad de difundir los mensajes institucionales en el o los espacios publicitarios adquiridos por EL PROVEEDOR, quien por conducto de la Coordinación Técnica de Difusión a través del administrador del contrato, los incorporará a sus órdenes de servicio en caso de ser aceptados.</w:t>
      </w:r>
    </w:p>
    <w:p w14:paraId="69F1B8C5" w14:textId="77777777" w:rsidR="00462E90" w:rsidRPr="007970A7" w:rsidRDefault="00462E90" w:rsidP="00462E90">
      <w:pPr>
        <w:spacing w:before="120" w:after="120"/>
        <w:jc w:val="both"/>
        <w:textAlignment w:val="baseline"/>
        <w:rPr>
          <w:rFonts w:ascii="Noto Sans" w:hAnsi="Noto Sans" w:cs="Noto Sans"/>
          <w:sz w:val="20"/>
          <w:szCs w:val="20"/>
          <w:lang w:val="es-MX"/>
        </w:rPr>
      </w:pPr>
    </w:p>
    <w:p w14:paraId="33E0F5D4" w14:textId="77777777" w:rsidR="00462E90" w:rsidRPr="007970A7" w:rsidRDefault="00462E90" w:rsidP="00462E90">
      <w:pPr>
        <w:spacing w:before="120" w:after="120"/>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2.5 </w:t>
      </w:r>
      <w:r w:rsidRPr="007970A7">
        <w:rPr>
          <w:rFonts w:ascii="Noto Sans" w:hAnsi="Noto Sans" w:cs="Noto Sans"/>
          <w:sz w:val="20"/>
          <w:szCs w:val="20"/>
          <w:lang w:val="es-MX"/>
        </w:rPr>
        <w:tab/>
        <w:t>EL PROVEEDOR podrá ofertar a EL INSTITUTO tarifas por paquete que contemplen los servicios descritos en el presente anexo u otros que en materia de publicidad puedan ser ofertados por EL PROVEEDOR.</w:t>
      </w:r>
    </w:p>
    <w:p w14:paraId="58439178" w14:textId="77777777" w:rsidR="00462E90"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Cuando el proveedor dentro de su tarifario presente únicamente costos mensuales o catorcenales y por necesidades de difusión, el Instituto requiera solicitar días específicos, la base de cálculo será el costo </w:t>
      </w:r>
      <w:r w:rsidRPr="007970A7">
        <w:rPr>
          <w:rFonts w:ascii="Noto Sans" w:hAnsi="Noto Sans" w:cs="Noto Sans"/>
          <w:sz w:val="20"/>
          <w:szCs w:val="20"/>
          <w:lang w:val="es-MX"/>
        </w:rPr>
        <w:tab/>
        <w:t>mensual o catorcenal dividido entre 30 o 14 días, según sea el caso, para obtener el costo por día.</w:t>
      </w:r>
    </w:p>
    <w:p w14:paraId="32220117" w14:textId="77777777" w:rsidR="00462E90" w:rsidRPr="007970A7" w:rsidRDefault="00462E90" w:rsidP="00462E90">
      <w:pPr>
        <w:spacing w:before="120" w:after="120"/>
        <w:jc w:val="both"/>
        <w:textAlignment w:val="baseline"/>
        <w:rPr>
          <w:rFonts w:ascii="Noto Sans" w:hAnsi="Noto Sans" w:cs="Noto Sans"/>
          <w:sz w:val="20"/>
          <w:szCs w:val="20"/>
          <w:lang w:val="es-MX"/>
        </w:rPr>
      </w:pPr>
    </w:p>
    <w:p w14:paraId="33307F10" w14:textId="77777777" w:rsidR="00462E90" w:rsidRDefault="00462E90" w:rsidP="00462E90">
      <w:pPr>
        <w:spacing w:before="120" w:after="120"/>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2.6 </w:t>
      </w:r>
      <w:r w:rsidRPr="007970A7">
        <w:rPr>
          <w:rFonts w:ascii="Noto Sans" w:hAnsi="Noto Sans" w:cs="Noto Sans"/>
          <w:sz w:val="20"/>
          <w:szCs w:val="20"/>
          <w:lang w:val="es-MX"/>
        </w:rPr>
        <w:tab/>
        <w:t>Las órdenes de servicio que elabore EL INSTITUTO se deberán entregar a EL PROVEEDOR previo al inicio de la difusión, pudiendo modificarse por EL INSTITUTO durante la difusión cuando por necesidades de éste, sea necesario realizar modificaciones a la vigencia, temporalidad, ajuste de materiales, etc., para lo cual EL INSTITUTO notificará a EL PROVEEDOR hasta con 24 horas de anticipación vía correo electrónico.</w:t>
      </w:r>
    </w:p>
    <w:p w14:paraId="0D8A64F3" w14:textId="77777777" w:rsidR="00462E90" w:rsidRPr="007970A7" w:rsidRDefault="00462E90" w:rsidP="00462E90">
      <w:pPr>
        <w:spacing w:before="120" w:after="120"/>
        <w:ind w:firstLine="284"/>
        <w:jc w:val="both"/>
        <w:textAlignment w:val="baseline"/>
        <w:rPr>
          <w:rFonts w:ascii="Noto Sans" w:hAnsi="Noto Sans" w:cs="Noto Sans"/>
          <w:sz w:val="20"/>
          <w:szCs w:val="20"/>
          <w:lang w:val="es-MX"/>
        </w:rPr>
      </w:pPr>
    </w:p>
    <w:p w14:paraId="668753D0" w14:textId="506FBB9A" w:rsidR="00462E90" w:rsidRDefault="00462E90" w:rsidP="00462E90">
      <w:pPr>
        <w:spacing w:before="120" w:after="120"/>
        <w:ind w:firstLine="284"/>
        <w:jc w:val="both"/>
        <w:textAlignment w:val="baseline"/>
        <w:rPr>
          <w:rFonts w:ascii="Noto Sans" w:hAnsi="Noto Sans" w:cs="Noto Sans"/>
          <w:b/>
          <w:bCs/>
          <w:sz w:val="20"/>
          <w:szCs w:val="20"/>
          <w:lang w:val="es-MX"/>
        </w:rPr>
      </w:pPr>
      <w:r w:rsidRPr="007970A7">
        <w:rPr>
          <w:rFonts w:ascii="Noto Sans" w:hAnsi="Noto Sans" w:cs="Noto Sans"/>
          <w:sz w:val="20"/>
          <w:szCs w:val="20"/>
          <w:lang w:val="es-MX"/>
        </w:rPr>
        <w:lastRenderedPageBreak/>
        <w:t xml:space="preserve">2.7 </w:t>
      </w:r>
      <w:r w:rsidRPr="007970A7">
        <w:rPr>
          <w:rFonts w:ascii="Noto Sans" w:hAnsi="Noto Sans" w:cs="Noto Sans"/>
          <w:sz w:val="20"/>
          <w:szCs w:val="20"/>
          <w:lang w:val="es-MX"/>
        </w:rPr>
        <w:tab/>
        <w:t>En caso de que la prestación del servicio se vea afectada por caso fortuito o fuerza mayor, EL PROVEEDOR se obliga a hacerlo del conocimiento de EL INSTITUTO mediante correo electrónico, a más tardar al día hábil siguiente a aquel en que ocurrió dicha eventualidad, para que en su caso, de común acuerdo, se establezcan las bases para la reposición de los servicios dejados de prestar, servicios que se proporcionarán lo más pronto posible; la omisión en la comunicación aludida hará acreedor a EL PROVEEDOR a las penas convencionales y/o deducciones, a la ejecución de la garantía de cumplimiento y/o en su caso, a la rescisión administrativa del contrato que para tal efecto se celebre</w:t>
      </w:r>
      <w:r w:rsidRPr="007970A7">
        <w:rPr>
          <w:rFonts w:ascii="Noto Sans" w:hAnsi="Noto Sans" w:cs="Noto Sans"/>
          <w:b/>
          <w:bCs/>
          <w:sz w:val="20"/>
          <w:szCs w:val="20"/>
          <w:lang w:val="es-MX"/>
        </w:rPr>
        <w:t>.</w:t>
      </w:r>
    </w:p>
    <w:p w14:paraId="70A74BF2" w14:textId="77777777" w:rsidR="00462E90" w:rsidRPr="007970A7" w:rsidRDefault="00462E90" w:rsidP="00462E90">
      <w:pPr>
        <w:spacing w:before="120" w:after="120"/>
        <w:ind w:firstLine="284"/>
        <w:jc w:val="both"/>
        <w:textAlignment w:val="baseline"/>
        <w:rPr>
          <w:rFonts w:ascii="Noto Sans" w:hAnsi="Noto Sans" w:cs="Noto Sans"/>
          <w:b/>
          <w:bCs/>
          <w:sz w:val="20"/>
          <w:szCs w:val="20"/>
          <w:lang w:val="es-MX"/>
        </w:rPr>
      </w:pPr>
    </w:p>
    <w:p w14:paraId="5D1966A4" w14:textId="77777777" w:rsidR="00462E90" w:rsidRPr="007970A7" w:rsidRDefault="00462E90" w:rsidP="00462E90">
      <w:pPr>
        <w:numPr>
          <w:ilvl w:val="0"/>
          <w:numId w:val="37"/>
        </w:numPr>
        <w:spacing w:before="120" w:after="120"/>
        <w:ind w:left="0" w:firstLine="284"/>
        <w:jc w:val="both"/>
        <w:textAlignment w:val="baseline"/>
        <w:rPr>
          <w:rFonts w:ascii="Noto Sans" w:hAnsi="Noto Sans" w:cs="Noto Sans"/>
          <w:b/>
          <w:bCs/>
          <w:sz w:val="20"/>
          <w:szCs w:val="20"/>
          <w:lang w:val="es-MX"/>
        </w:rPr>
      </w:pPr>
      <w:r w:rsidRPr="007970A7">
        <w:rPr>
          <w:rFonts w:ascii="Noto Sans" w:eastAsia="Times New Roman" w:hAnsi="Noto Sans" w:cs="Noto Sans"/>
          <w:b/>
          <w:bCs/>
          <w:color w:val="000000"/>
          <w:sz w:val="20"/>
          <w:szCs w:val="20"/>
          <w:lang w:val="es-MX" w:eastAsia="es-MX"/>
        </w:rPr>
        <w:t>Productos</w:t>
      </w:r>
      <w:r w:rsidRPr="007970A7">
        <w:rPr>
          <w:rFonts w:ascii="Noto Sans" w:hAnsi="Noto Sans" w:cs="Noto Sans"/>
          <w:b/>
          <w:bCs/>
          <w:sz w:val="20"/>
          <w:szCs w:val="20"/>
          <w:lang w:val="es-MX"/>
        </w:rPr>
        <w:t xml:space="preserve"> entregables</w:t>
      </w:r>
    </w:p>
    <w:p w14:paraId="328398CA" w14:textId="77777777" w:rsidR="00462E90" w:rsidRPr="007970A7" w:rsidRDefault="00462E90" w:rsidP="00462E90">
      <w:pPr>
        <w:spacing w:before="120" w:after="120"/>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3.1 </w:t>
      </w:r>
      <w:r w:rsidRPr="007970A7">
        <w:rPr>
          <w:rFonts w:ascii="Noto Sans" w:hAnsi="Noto Sans" w:cs="Noto Sans"/>
          <w:sz w:val="20"/>
          <w:szCs w:val="20"/>
          <w:lang w:val="es-MX"/>
        </w:rPr>
        <w:tab/>
        <w:t>EL PROVEEDOR, a fin de acreditar el cumplimiento de sus obligaciones contractuales, se obliga a entregar los documentos y testigos derivados de la orden de servicio para su revisión dentro de los cinco días hábiles posteriores al vencimiento de dicha orden, la omisión o atraso en la entrega de testigos y documentación será causal de las penas convencionales que para tal efecto se establezcan en el contrato. </w:t>
      </w:r>
    </w:p>
    <w:p w14:paraId="7D8956D8" w14:textId="77777777" w:rsidR="00462E90" w:rsidRPr="007970A7"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servicio con la temporalidad que ésta determine, a fin de verificar el avance del cumplimiento de esta.</w:t>
      </w:r>
    </w:p>
    <w:p w14:paraId="18D59807" w14:textId="77777777" w:rsidR="00462E90" w:rsidRPr="007970A7"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con lo siguiente:</w:t>
      </w:r>
    </w:p>
    <w:p w14:paraId="2F810E26" w14:textId="77777777" w:rsidR="00462E90" w:rsidRDefault="00462E90" w:rsidP="00462E90">
      <w:pPr>
        <w:spacing w:before="120" w:after="120"/>
        <w:jc w:val="center"/>
        <w:textAlignment w:val="baseline"/>
        <w:rPr>
          <w:rFonts w:ascii="Noto Sans" w:hAnsi="Noto Sans" w:cs="Noto Sans"/>
          <w:b/>
          <w:bCs/>
          <w:sz w:val="20"/>
          <w:szCs w:val="20"/>
          <w:lang w:val="es-MX"/>
        </w:rPr>
      </w:pPr>
    </w:p>
    <w:p w14:paraId="55360C40" w14:textId="114F6FCF" w:rsidR="00462E90" w:rsidRPr="007970A7" w:rsidRDefault="00462E90" w:rsidP="00462E90">
      <w:pPr>
        <w:spacing w:before="120" w:after="120"/>
        <w:jc w:val="center"/>
        <w:textAlignment w:val="baseline"/>
        <w:rPr>
          <w:rFonts w:ascii="Noto Sans" w:hAnsi="Noto Sans" w:cs="Noto Sans"/>
          <w:sz w:val="20"/>
          <w:szCs w:val="20"/>
          <w:lang w:val="es-MX"/>
        </w:rPr>
      </w:pPr>
      <w:r>
        <w:rPr>
          <w:rFonts w:ascii="Noto Sans" w:hAnsi="Noto Sans" w:cs="Noto Sans"/>
          <w:b/>
          <w:bCs/>
          <w:sz w:val="20"/>
          <w:szCs w:val="20"/>
          <w:lang w:val="es-MX"/>
        </w:rPr>
        <w:t xml:space="preserve">ENTREGABLES </w:t>
      </w:r>
      <w:r w:rsidRPr="007970A7">
        <w:rPr>
          <w:rFonts w:ascii="Noto Sans" w:hAnsi="Noto Sans" w:cs="Noto Sans"/>
          <w:b/>
          <w:bCs/>
          <w:sz w:val="20"/>
          <w:szCs w:val="20"/>
          <w:lang w:val="es-MX"/>
        </w:rPr>
        <w:t>PARA MEDIOS DIGITALES</w:t>
      </w:r>
    </w:p>
    <w:p w14:paraId="1580C693" w14:textId="77777777" w:rsidR="00462E90" w:rsidRPr="007970A7"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En la contratación en Desktop y Mobile por CPM (Costo Por Millar) o CPV (Costo por Vista), se requiere un reporte (Impreso) en donde se verifique el 100% de impresiones o vistas, así como imágenes (capturas de pantalla) aleatorias de las publicaciones de las campañas de EL INSTITUTO durante el periodo descrito en la orden de servicio.</w:t>
      </w:r>
    </w:p>
    <w:p w14:paraId="084EA848" w14:textId="77777777" w:rsidR="00462E90" w:rsidRPr="007970A7"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En el caso de contrataciones fijas (por mes o por día) se deberá entregar el 100% de las imágenes (capturas de pantalla) del periodo solicitado en la orden de servicio correspondiente, en dichas imágenes se deberán apreciar las campañas de EL INSTITUTO</w:t>
      </w:r>
      <w:r>
        <w:rPr>
          <w:rFonts w:ascii="Noto Sans" w:hAnsi="Noto Sans" w:cs="Noto Sans"/>
          <w:sz w:val="20"/>
          <w:szCs w:val="20"/>
          <w:lang w:val="es-MX"/>
        </w:rPr>
        <w:t>.</w:t>
      </w:r>
    </w:p>
    <w:p w14:paraId="4C9A9272" w14:textId="77777777" w:rsidR="00462E90" w:rsidRPr="007970A7"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A fin de verificar el cumplimiento de la orden de servicio, EL INSTITUTO tendrá la facultad de solicitar la imagen (screen shot) del Adserver, donde se muestren los resultados alcanzados de las campañas de El INSTITUTO.</w:t>
      </w:r>
    </w:p>
    <w:p w14:paraId="60F0F368" w14:textId="77777777" w:rsidR="00462E90" w:rsidRPr="007970A7"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lastRenderedPageBreak/>
        <w:t>Los testigos antes mencionados, deberán proporcionarse de forma electrónica en dispositivo USB.</w:t>
      </w:r>
    </w:p>
    <w:p w14:paraId="16B6CE60" w14:textId="77777777" w:rsidR="00462E90" w:rsidRPr="007970A7"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Independientemente de los testigos antes citados, EL PROVEEDOR deberá entregar por cada orden de servicio una carta bajo protesta de decir verdad en papel membretado y firmada por el Representante Legal y/o Director del Área Comercial de EL PROVEEDOR, en la que se manifieste que se prestaron todos y cada uno de los servicios solicitados por EL INSTITUTO, misma que deberá especificar el número de orden de servicio que ampara. Adjuntando a esta, la impresión de las capturas de inicio y fin de cada espacio. Estas impresiones deberán ser firmadas por Representante Legal y/o Director del Área Comercial.</w:t>
      </w:r>
    </w:p>
    <w:p w14:paraId="7E17FA6F" w14:textId="77777777" w:rsidR="00462E90"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Los servicios solicitados, además podrán ser verificados con reportes de monitoreo, en caso de que EL INSTITUTO llegara a contratar una empresa especializada para realizar el monitoreo.</w:t>
      </w:r>
    </w:p>
    <w:p w14:paraId="78EF720D" w14:textId="77777777" w:rsidR="00462E90" w:rsidRPr="007970A7" w:rsidRDefault="00462E90" w:rsidP="00462E90">
      <w:pPr>
        <w:spacing w:before="120" w:after="120"/>
        <w:jc w:val="both"/>
        <w:textAlignment w:val="baseline"/>
        <w:rPr>
          <w:rFonts w:ascii="Noto Sans" w:hAnsi="Noto Sans" w:cs="Noto Sans"/>
          <w:sz w:val="20"/>
          <w:szCs w:val="20"/>
          <w:lang w:val="es-MX"/>
        </w:rPr>
      </w:pPr>
      <w:r w:rsidRPr="007970A7">
        <w:rPr>
          <w:rFonts w:ascii="Noto Sans" w:hAnsi="Noto Sans" w:cs="Noto Sans"/>
          <w:sz w:val="20"/>
          <w:szCs w:val="20"/>
          <w:lang w:val="es-MX"/>
        </w:rPr>
        <w:t>El administrador del contrato, dependiente de la Coordinación Técnica de Difusión validará los testigos y reportes entregados por EL PROVEEDOR con la Carta Revisión de Testigos verificados por el personal de medios digitales y en caso de que cumplan con lo solicitado, éste emitirá un oficio con la validación del material para que se inicie el trámite de pago; en caso de que en la revisión se llegue a detectar atraso, cumplimiento parcial o deficiente en la prestación del servicio solicitado en la orden, la Carta Revisión de Testigos deberá hacer notar dichos incumplimientos, y el administrador del contrato emitirá oficio de validación que incluya las penas convencionales y/o deducciones en las que EL PROVEEDOR haya incurrido, a fin de que éste emita la nota de crédito correspondiente.</w:t>
      </w:r>
    </w:p>
    <w:p w14:paraId="14F75523" w14:textId="77777777" w:rsidR="00462E90" w:rsidRDefault="00462E90" w:rsidP="00462E90">
      <w:pPr>
        <w:spacing w:before="120" w:after="120"/>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3.2 </w:t>
      </w:r>
      <w:r w:rsidRPr="007970A7">
        <w:rPr>
          <w:rFonts w:ascii="Noto Sans" w:hAnsi="Noto Sans" w:cs="Noto Sans"/>
          <w:sz w:val="20"/>
          <w:szCs w:val="20"/>
          <w:lang w:val="es-MX"/>
        </w:rPr>
        <w:tab/>
        <w:t>Todos los servicios serán verificados con los testigos enviados por EL PROVEEDOR a EL INSTITUTO.</w:t>
      </w:r>
    </w:p>
    <w:p w14:paraId="0EC641B5" w14:textId="77777777" w:rsidR="00906E16" w:rsidRDefault="00906E16" w:rsidP="00462E90">
      <w:pPr>
        <w:spacing w:before="120" w:after="120"/>
        <w:ind w:firstLine="284"/>
        <w:jc w:val="both"/>
        <w:textAlignment w:val="baseline"/>
        <w:rPr>
          <w:rFonts w:ascii="Noto Sans" w:hAnsi="Noto Sans" w:cs="Noto Sans"/>
          <w:sz w:val="20"/>
          <w:szCs w:val="20"/>
          <w:lang w:val="es-MX"/>
        </w:rPr>
      </w:pPr>
    </w:p>
    <w:p w14:paraId="14E25733" w14:textId="77777777" w:rsidR="00462E90" w:rsidRPr="007970A7" w:rsidRDefault="00462E90" w:rsidP="00462E90">
      <w:pPr>
        <w:numPr>
          <w:ilvl w:val="0"/>
          <w:numId w:val="37"/>
        </w:numPr>
        <w:spacing w:before="120" w:after="120"/>
        <w:ind w:left="0" w:firstLine="284"/>
        <w:jc w:val="both"/>
        <w:textAlignment w:val="baseline"/>
        <w:rPr>
          <w:rFonts w:ascii="Noto Sans" w:hAnsi="Noto Sans" w:cs="Noto Sans"/>
          <w:b/>
          <w:bCs/>
          <w:sz w:val="20"/>
          <w:szCs w:val="20"/>
          <w:lang w:val="es-MX"/>
        </w:rPr>
      </w:pPr>
      <w:r w:rsidRPr="007970A7">
        <w:rPr>
          <w:rFonts w:ascii="Noto Sans" w:eastAsia="Times New Roman" w:hAnsi="Noto Sans" w:cs="Noto Sans"/>
          <w:b/>
          <w:bCs/>
          <w:color w:val="000000"/>
          <w:sz w:val="20"/>
          <w:szCs w:val="20"/>
          <w:lang w:val="es-MX" w:eastAsia="es-MX"/>
        </w:rPr>
        <w:t>Confidencialidad</w:t>
      </w:r>
    </w:p>
    <w:p w14:paraId="4A38092E" w14:textId="77777777" w:rsidR="00462E90" w:rsidRPr="007970A7" w:rsidRDefault="00462E90" w:rsidP="00462E90">
      <w:pPr>
        <w:jc w:val="both"/>
        <w:rPr>
          <w:rFonts w:ascii="Noto Sans" w:hAnsi="Noto Sans" w:cs="Noto Sans"/>
          <w:sz w:val="20"/>
          <w:szCs w:val="20"/>
          <w:lang w:val="es-MX"/>
        </w:rPr>
      </w:pPr>
      <w:r w:rsidRPr="007970A7">
        <w:rPr>
          <w:rFonts w:ascii="Noto Sans" w:hAnsi="Noto Sans" w:cs="Noto Sans"/>
          <w:sz w:val="20"/>
          <w:szCs w:val="20"/>
          <w:lang w:val="es-MX"/>
        </w:rPr>
        <w:t>Las partes convienen en considerar como información confidencial a toda aquella relacionada con las actividades propias de EL INSTITUTO y que sea proporcionada en la ejecución del presente servicio, así como aquella a la que tengan acceso las partes, con motivo del contrato que se celebre. De la misma manera, convienen en que la información confidencial a que se refiere este apartado puede estar contenida en documentos, fórmulas, conversaciones telefónicas, mensajes en audio, mensajes en grabadoras, cintas magnéticas, programas de computadora, disquetes, correos electrónicos, o cualquier otro material que tenga información jurídica, operativa, técnica, financiera o de análisis, para la prestación de los servicios, obligándose EL PROVEEDOR, adicionalmente a lo siguiente:</w:t>
      </w:r>
    </w:p>
    <w:p w14:paraId="62C518C1" w14:textId="77777777" w:rsidR="00462E90" w:rsidRPr="007970A7" w:rsidRDefault="00462E90" w:rsidP="00462E90">
      <w:pPr>
        <w:jc w:val="both"/>
        <w:rPr>
          <w:rFonts w:ascii="Noto Sans" w:hAnsi="Noto Sans" w:cs="Noto Sans"/>
          <w:sz w:val="20"/>
          <w:szCs w:val="20"/>
          <w:lang w:val="es-MX"/>
        </w:rPr>
      </w:pPr>
    </w:p>
    <w:p w14:paraId="3E53854C" w14:textId="77777777" w:rsidR="00462E90" w:rsidRDefault="00462E90" w:rsidP="00462E90">
      <w:pPr>
        <w:numPr>
          <w:ilvl w:val="0"/>
          <w:numId w:val="38"/>
        </w:numPr>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Utilizar la información a que tenga acceso o generada con motivo de su estancia en las instalaciones de EL INSTITUTO, únicamente para cumplimentar el objeto del contrato.</w:t>
      </w:r>
    </w:p>
    <w:p w14:paraId="5AEF5D4D" w14:textId="77777777" w:rsidR="00906E16" w:rsidRDefault="00906E16" w:rsidP="00906E16">
      <w:pPr>
        <w:ind w:left="284"/>
        <w:jc w:val="both"/>
        <w:textAlignment w:val="baseline"/>
        <w:rPr>
          <w:rFonts w:ascii="Noto Sans" w:hAnsi="Noto Sans" w:cs="Noto Sans"/>
          <w:sz w:val="20"/>
          <w:szCs w:val="20"/>
          <w:lang w:val="es-MX"/>
        </w:rPr>
      </w:pPr>
    </w:p>
    <w:p w14:paraId="11B4E05A" w14:textId="77777777" w:rsidR="00906E16" w:rsidRPr="007970A7" w:rsidRDefault="00906E16" w:rsidP="00906E16">
      <w:pPr>
        <w:ind w:left="284"/>
        <w:jc w:val="both"/>
        <w:textAlignment w:val="baseline"/>
        <w:rPr>
          <w:rFonts w:ascii="Noto Sans" w:hAnsi="Noto Sans" w:cs="Noto Sans"/>
          <w:sz w:val="20"/>
          <w:szCs w:val="20"/>
          <w:lang w:val="es-MX"/>
        </w:rPr>
      </w:pPr>
    </w:p>
    <w:p w14:paraId="252D7EA4" w14:textId="77777777" w:rsidR="00462E90" w:rsidRPr="007970A7" w:rsidRDefault="00462E90" w:rsidP="00462E90">
      <w:pPr>
        <w:numPr>
          <w:ilvl w:val="0"/>
          <w:numId w:val="38"/>
        </w:numPr>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Limitar la revelación de la información y documentación a que tenga acceso, únicamente a las personas que dentro de su propia organización se encuentren autorizadas para conocerla, haciéndose responsable del uso que dichas personas puedan hacer de la misma.</w:t>
      </w:r>
    </w:p>
    <w:p w14:paraId="5D601EBC" w14:textId="77777777" w:rsidR="00462E90" w:rsidRPr="007970A7" w:rsidRDefault="00462E90" w:rsidP="00462E90">
      <w:pPr>
        <w:numPr>
          <w:ilvl w:val="0"/>
          <w:numId w:val="38"/>
        </w:numPr>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No hacer copias de la información, sin la autorización por escrito de EL INSTITUTO.</w:t>
      </w:r>
    </w:p>
    <w:p w14:paraId="4B88053D" w14:textId="77777777" w:rsidR="00462E90" w:rsidRDefault="00462E90" w:rsidP="00462E90">
      <w:pPr>
        <w:numPr>
          <w:ilvl w:val="0"/>
          <w:numId w:val="38"/>
        </w:numPr>
        <w:ind w:firstLine="284"/>
        <w:jc w:val="both"/>
        <w:textAlignment w:val="baseline"/>
        <w:rPr>
          <w:rFonts w:ascii="Noto Sans" w:hAnsi="Noto Sans" w:cs="Noto Sans"/>
          <w:sz w:val="20"/>
          <w:szCs w:val="20"/>
          <w:lang w:val="es-MX"/>
        </w:rPr>
      </w:pPr>
      <w:r w:rsidRPr="007970A7">
        <w:rPr>
          <w:rFonts w:ascii="Noto Sans" w:hAnsi="Noto Sans" w:cs="Noto Sans"/>
          <w:sz w:val="20"/>
          <w:szCs w:val="20"/>
          <w:lang w:val="es-MX"/>
        </w:rPr>
        <w:t xml:space="preserve">No revelar a ningún tercero la información sin previa autorización por escrito </w:t>
      </w:r>
      <w:r>
        <w:rPr>
          <w:rFonts w:ascii="Noto Sans" w:hAnsi="Noto Sans" w:cs="Noto Sans"/>
          <w:sz w:val="20"/>
          <w:szCs w:val="20"/>
          <w:lang w:val="es-MX"/>
        </w:rPr>
        <w:t xml:space="preserve">                              </w:t>
      </w:r>
      <w:r w:rsidRPr="007970A7">
        <w:rPr>
          <w:rFonts w:ascii="Noto Sans" w:hAnsi="Noto Sans" w:cs="Noto Sans"/>
          <w:sz w:val="20"/>
          <w:szCs w:val="20"/>
          <w:lang w:val="es-MX"/>
        </w:rPr>
        <w:t>de EL INSTITUTO.</w:t>
      </w:r>
    </w:p>
    <w:p w14:paraId="66826082" w14:textId="77777777" w:rsidR="00906E16" w:rsidRPr="007970A7" w:rsidRDefault="00906E16" w:rsidP="00906E16">
      <w:pPr>
        <w:ind w:left="284"/>
        <w:jc w:val="both"/>
        <w:textAlignment w:val="baseline"/>
        <w:rPr>
          <w:rFonts w:ascii="Noto Sans" w:hAnsi="Noto Sans" w:cs="Noto Sans"/>
          <w:sz w:val="20"/>
          <w:szCs w:val="20"/>
          <w:lang w:val="es-MX"/>
        </w:rPr>
      </w:pPr>
    </w:p>
    <w:p w14:paraId="3C3DC110" w14:textId="6C432EE2" w:rsidR="00462E90" w:rsidRPr="007970A7" w:rsidRDefault="00462E90" w:rsidP="00462E90">
      <w:pPr>
        <w:numPr>
          <w:ilvl w:val="0"/>
          <w:numId w:val="37"/>
        </w:numPr>
        <w:spacing w:before="120" w:after="120"/>
        <w:ind w:left="0" w:firstLine="0"/>
        <w:jc w:val="both"/>
        <w:textAlignment w:val="baseline"/>
        <w:rPr>
          <w:rFonts w:ascii="Noto Sans" w:hAnsi="Noto Sans" w:cs="Noto Sans"/>
          <w:b/>
          <w:bCs/>
          <w:sz w:val="20"/>
          <w:szCs w:val="20"/>
          <w:lang w:val="es-MX"/>
        </w:rPr>
      </w:pPr>
      <w:r w:rsidRPr="007970A7">
        <w:rPr>
          <w:rFonts w:ascii="Noto Sans" w:hAnsi="Noto Sans" w:cs="Noto Sans"/>
          <w:b/>
          <w:bCs/>
          <w:sz w:val="20"/>
          <w:szCs w:val="20"/>
          <w:lang w:val="es-MX"/>
        </w:rPr>
        <w:t xml:space="preserve">Relación </w:t>
      </w:r>
      <w:r w:rsidRPr="007970A7">
        <w:rPr>
          <w:rFonts w:ascii="Noto Sans" w:eastAsia="Times New Roman" w:hAnsi="Noto Sans" w:cs="Noto Sans"/>
          <w:b/>
          <w:bCs/>
          <w:color w:val="000000"/>
          <w:sz w:val="20"/>
          <w:szCs w:val="20"/>
          <w:lang w:val="es-MX" w:eastAsia="es-MX"/>
        </w:rPr>
        <w:t>laboral</w:t>
      </w:r>
    </w:p>
    <w:p w14:paraId="28245CBA" w14:textId="77777777" w:rsidR="00462E90" w:rsidRPr="007970A7" w:rsidRDefault="00462E90" w:rsidP="00462E90">
      <w:pPr>
        <w:jc w:val="both"/>
        <w:rPr>
          <w:rFonts w:ascii="Noto Sans" w:hAnsi="Noto Sans" w:cs="Noto Sans"/>
          <w:sz w:val="20"/>
          <w:szCs w:val="20"/>
          <w:lang w:val="es-MX"/>
        </w:rPr>
      </w:pPr>
      <w:r w:rsidRPr="007970A7">
        <w:rPr>
          <w:rFonts w:ascii="Noto Sans" w:hAnsi="Noto Sans" w:cs="Noto Sans"/>
          <w:sz w:val="20"/>
          <w:szCs w:val="20"/>
          <w:lang w:val="es-MX"/>
        </w:rPr>
        <w:t>Cada una de LAS PARTES, se constituye como único patrón del personal que ocupe para proporcionar los servicios para el cumplimiento del presente contrato, en los términos del artículo 10 de la Ley Federal del Trabajo, sin reserva de lo dispuesto por el artículo 132 del mismo ordenamiento legal, quedando totalmente a su cargo todas las obligaciones que deriven de las relaciones laborales, contractuales y fiscales con sus trabajadores; por lo que cada una de LAS PARTES es el único responsable de las violaciones que en virtud de las disposiciones legales y demás ordenamientos en materia de trabajo y seguridad social se deriven frente a dicho personal, liberando a la otra parte de cualquier responsabilidad solidaria y reclamación que hagan sus trabajadores al respecto.</w:t>
      </w:r>
    </w:p>
    <w:p w14:paraId="16062437" w14:textId="77777777" w:rsidR="00462E90" w:rsidRPr="007970A7" w:rsidRDefault="00462E90" w:rsidP="00462E90">
      <w:pPr>
        <w:ind w:left="-567"/>
        <w:jc w:val="both"/>
        <w:rPr>
          <w:rFonts w:ascii="Noto Sans" w:hAnsi="Noto Sans" w:cs="Noto Sans"/>
          <w:sz w:val="20"/>
          <w:szCs w:val="20"/>
          <w:lang w:val="es-MX"/>
        </w:rPr>
      </w:pPr>
    </w:p>
    <w:p w14:paraId="04A800E4" w14:textId="77777777" w:rsidR="00462E90" w:rsidRPr="007970A7" w:rsidRDefault="00462E90" w:rsidP="00462E90">
      <w:pPr>
        <w:spacing w:before="120" w:after="120"/>
        <w:ind w:hanging="226"/>
        <w:jc w:val="both"/>
        <w:rPr>
          <w:rFonts w:ascii="Noto Sans" w:eastAsia="Times New Roman" w:hAnsi="Noto Sans" w:cs="Noto Sans"/>
          <w:b/>
          <w:bCs/>
          <w:color w:val="000000"/>
          <w:sz w:val="20"/>
          <w:szCs w:val="20"/>
          <w:lang w:val="es-MX" w:eastAsia="es-MX"/>
        </w:rPr>
      </w:pPr>
      <w:r w:rsidRPr="007970A7">
        <w:rPr>
          <w:rFonts w:ascii="Noto Sans" w:hAnsi="Noto Sans" w:cs="Noto Sans"/>
          <w:b/>
          <w:bCs/>
          <w:sz w:val="20"/>
          <w:szCs w:val="20"/>
          <w:lang w:val="es-MX"/>
        </w:rPr>
        <w:t xml:space="preserve">b) </w:t>
      </w:r>
      <w:r w:rsidRPr="007970A7">
        <w:rPr>
          <w:rFonts w:ascii="Noto Sans" w:eastAsia="Times New Roman" w:hAnsi="Noto Sans" w:cs="Noto Sans"/>
          <w:b/>
          <w:bCs/>
          <w:color w:val="000000"/>
          <w:sz w:val="20"/>
          <w:szCs w:val="20"/>
          <w:lang w:val="es-MX" w:eastAsia="es-MX"/>
        </w:rPr>
        <w:t xml:space="preserve">Realizar pruebas. </w:t>
      </w:r>
      <w:r w:rsidRPr="007970A7">
        <w:rPr>
          <w:rFonts w:ascii="Noto Sans" w:eastAsia="Times New Roman" w:hAnsi="Noto Sans" w:cs="Noto Sans"/>
          <w:color w:val="000000"/>
          <w:sz w:val="20"/>
          <w:szCs w:val="20"/>
          <w:lang w:val="es-MX" w:eastAsia="es-MX"/>
        </w:rPr>
        <w:t>- No aplica.</w:t>
      </w:r>
    </w:p>
    <w:p w14:paraId="3C36D311" w14:textId="77777777" w:rsidR="00462E90" w:rsidRPr="007970A7" w:rsidRDefault="00462E90" w:rsidP="00462E90">
      <w:pPr>
        <w:spacing w:before="120" w:after="120"/>
        <w:ind w:hanging="226"/>
        <w:jc w:val="both"/>
        <w:rPr>
          <w:rFonts w:ascii="Noto Sans" w:eastAsia="Times New Roman" w:hAnsi="Noto Sans" w:cs="Noto Sans"/>
          <w:b/>
          <w:bCs/>
          <w:color w:val="000000"/>
          <w:sz w:val="20"/>
          <w:szCs w:val="20"/>
          <w:lang w:val="es-MX" w:eastAsia="es-MX"/>
        </w:rPr>
      </w:pPr>
      <w:r w:rsidRPr="007970A7">
        <w:rPr>
          <w:rFonts w:ascii="Noto Sans" w:eastAsia="Times New Roman" w:hAnsi="Noto Sans" w:cs="Noto Sans"/>
          <w:b/>
          <w:bCs/>
          <w:color w:val="000000"/>
          <w:sz w:val="20"/>
          <w:szCs w:val="20"/>
          <w:lang w:val="es-MX" w:eastAsia="es-MX"/>
        </w:rPr>
        <w:t xml:space="preserve">c) Modificar la especificación técnica de algún bien que no se encuentre regulado por el cuadro básico y catálogo de instrumental y equipo médico. </w:t>
      </w:r>
      <w:r w:rsidRPr="007970A7">
        <w:rPr>
          <w:rFonts w:ascii="Noto Sans" w:eastAsia="Times New Roman" w:hAnsi="Noto Sans" w:cs="Noto Sans"/>
          <w:color w:val="000000"/>
          <w:sz w:val="20"/>
          <w:szCs w:val="20"/>
          <w:lang w:val="es-MX" w:eastAsia="es-MX"/>
        </w:rPr>
        <w:t>- No aplica.</w:t>
      </w:r>
    </w:p>
    <w:p w14:paraId="1E4BFB69" w14:textId="77777777" w:rsidR="00462E90" w:rsidRPr="007970A7" w:rsidRDefault="00462E90" w:rsidP="00462E90">
      <w:pPr>
        <w:spacing w:before="120" w:after="120"/>
        <w:ind w:hanging="226"/>
        <w:jc w:val="both"/>
        <w:rPr>
          <w:rFonts w:ascii="Noto Sans" w:eastAsia="Times New Roman" w:hAnsi="Noto Sans" w:cs="Noto Sans"/>
          <w:b/>
          <w:bCs/>
          <w:color w:val="000000"/>
          <w:sz w:val="20"/>
          <w:szCs w:val="20"/>
          <w:lang w:val="es-MX" w:eastAsia="es-MX"/>
        </w:rPr>
      </w:pPr>
      <w:r w:rsidRPr="007970A7">
        <w:rPr>
          <w:rFonts w:ascii="Noto Sans" w:eastAsia="Times New Roman" w:hAnsi="Noto Sans" w:cs="Noto Sans"/>
          <w:b/>
          <w:bCs/>
          <w:color w:val="000000"/>
          <w:sz w:val="20"/>
          <w:szCs w:val="20"/>
          <w:lang w:val="es-MX" w:eastAsia="es-MX"/>
        </w:rPr>
        <w:t>d) Modificar especificaciones técnicas de un bien respecto de las estipuladas en el ejercicio anterior.</w:t>
      </w:r>
      <w:r w:rsidRPr="007970A7">
        <w:rPr>
          <w:rFonts w:ascii="Noto Sans" w:eastAsia="Times New Roman" w:hAnsi="Noto Sans" w:cs="Noto Sans"/>
          <w:color w:val="000000"/>
          <w:sz w:val="20"/>
          <w:szCs w:val="20"/>
          <w:lang w:val="es-MX" w:eastAsia="es-MX"/>
        </w:rPr>
        <w:t xml:space="preserve"> - No aplica</w:t>
      </w:r>
      <w:r>
        <w:rPr>
          <w:rFonts w:ascii="Noto Sans" w:eastAsia="Times New Roman" w:hAnsi="Noto Sans" w:cs="Noto Sans"/>
          <w:color w:val="000000"/>
          <w:sz w:val="20"/>
          <w:szCs w:val="20"/>
          <w:lang w:val="es-MX" w:eastAsia="es-MX"/>
        </w:rPr>
        <w:t>.</w:t>
      </w:r>
    </w:p>
    <w:p w14:paraId="63F8A284" w14:textId="77777777" w:rsidR="00462E90" w:rsidRPr="007970A7" w:rsidRDefault="00462E90" w:rsidP="00462E90">
      <w:pPr>
        <w:spacing w:before="120" w:after="120"/>
        <w:ind w:hanging="226"/>
        <w:jc w:val="both"/>
        <w:rPr>
          <w:rFonts w:ascii="Noto Sans" w:eastAsia="Times New Roman" w:hAnsi="Noto Sans" w:cs="Noto Sans"/>
          <w:b/>
          <w:bCs/>
          <w:color w:val="000000"/>
          <w:sz w:val="20"/>
          <w:szCs w:val="20"/>
          <w:lang w:val="es-MX" w:eastAsia="es-MX"/>
        </w:rPr>
      </w:pPr>
      <w:r w:rsidRPr="007970A7">
        <w:rPr>
          <w:rFonts w:ascii="Noto Sans" w:eastAsia="Times New Roman" w:hAnsi="Noto Sans" w:cs="Noto Sans"/>
          <w:b/>
          <w:bCs/>
          <w:color w:val="000000"/>
          <w:sz w:val="20"/>
          <w:szCs w:val="20"/>
          <w:lang w:val="es-MX" w:eastAsia="es-MX"/>
        </w:rPr>
        <w:t xml:space="preserve">e) Norma Oficial Mexicana. </w:t>
      </w:r>
      <w:r w:rsidRPr="007970A7">
        <w:rPr>
          <w:rFonts w:ascii="Noto Sans" w:eastAsia="Times New Roman" w:hAnsi="Noto Sans" w:cs="Noto Sans"/>
          <w:color w:val="000000"/>
          <w:sz w:val="20"/>
          <w:szCs w:val="20"/>
          <w:lang w:val="es-MX" w:eastAsia="es-MX"/>
        </w:rPr>
        <w:t>- No aplica.</w:t>
      </w:r>
    </w:p>
    <w:p w14:paraId="547F84B5" w14:textId="77777777" w:rsidR="00462E90" w:rsidRPr="007970A7" w:rsidRDefault="00462E90" w:rsidP="00462E90">
      <w:pPr>
        <w:spacing w:before="120" w:after="120"/>
        <w:ind w:hanging="226"/>
        <w:jc w:val="both"/>
        <w:rPr>
          <w:rFonts w:ascii="Noto Sans" w:hAnsi="Noto Sans" w:cs="Noto Sans"/>
          <w:sz w:val="20"/>
          <w:szCs w:val="20"/>
          <w:lang w:val="es-MX"/>
        </w:rPr>
      </w:pPr>
      <w:r w:rsidRPr="007970A7">
        <w:rPr>
          <w:rFonts w:ascii="Noto Sans" w:eastAsia="Times New Roman" w:hAnsi="Noto Sans" w:cs="Noto Sans"/>
          <w:b/>
          <w:bCs/>
          <w:color w:val="000000"/>
          <w:sz w:val="20"/>
          <w:szCs w:val="20"/>
          <w:lang w:val="es-MX" w:eastAsia="es-MX"/>
        </w:rPr>
        <w:t>f) Anexo técnico con información relativa a suficiencia presupuestaria y precios de contratación o tipo de procedimiento</w:t>
      </w:r>
      <w:r w:rsidRPr="007970A7">
        <w:rPr>
          <w:rFonts w:ascii="Noto Sans" w:hAnsi="Noto Sans" w:cs="Noto Sans"/>
          <w:b/>
          <w:bCs/>
          <w:sz w:val="20"/>
          <w:szCs w:val="20"/>
          <w:lang w:val="es-MX"/>
        </w:rPr>
        <w:t xml:space="preserve"> de contratación</w:t>
      </w:r>
      <w:r w:rsidRPr="007970A7">
        <w:rPr>
          <w:rFonts w:ascii="Noto Sans" w:hAnsi="Noto Sans" w:cs="Noto Sans"/>
          <w:sz w:val="20"/>
          <w:szCs w:val="20"/>
          <w:lang w:val="es-MX"/>
        </w:rPr>
        <w:t>. - No aplica.</w:t>
      </w:r>
    </w:p>
    <w:p w14:paraId="6281D73F" w14:textId="77777777" w:rsidR="00462E90" w:rsidRPr="007970A7" w:rsidRDefault="00462E90" w:rsidP="00906E16">
      <w:pPr>
        <w:ind w:left="-284"/>
        <w:jc w:val="both"/>
        <w:rPr>
          <w:rFonts w:ascii="Noto Sans" w:hAnsi="Noto Sans" w:cs="Noto Sans"/>
          <w:sz w:val="20"/>
          <w:szCs w:val="20"/>
          <w:lang w:val="es-MX"/>
        </w:rPr>
      </w:pPr>
      <w:r w:rsidRPr="007970A7">
        <w:rPr>
          <w:rFonts w:ascii="Noto Sans" w:hAnsi="Noto Sans" w:cs="Noto Sans"/>
          <w:sz w:val="20"/>
          <w:szCs w:val="20"/>
          <w:lang w:val="es-MX"/>
        </w:rPr>
        <w:t>Atentamente,</w:t>
      </w:r>
    </w:p>
    <w:p w14:paraId="2A2B86B2" w14:textId="77777777" w:rsidR="00462E90" w:rsidRPr="007970A7" w:rsidRDefault="00462E90" w:rsidP="00906E16">
      <w:pPr>
        <w:ind w:left="-284"/>
        <w:jc w:val="both"/>
        <w:rPr>
          <w:rFonts w:ascii="Noto Sans" w:hAnsi="Noto Sans" w:cs="Noto Sans"/>
          <w:b/>
          <w:bCs/>
          <w:sz w:val="20"/>
          <w:szCs w:val="20"/>
          <w:lang w:val="es-MX"/>
        </w:rPr>
      </w:pPr>
      <w:r w:rsidRPr="007970A7">
        <w:rPr>
          <w:rFonts w:ascii="Noto Sans" w:hAnsi="Noto Sans" w:cs="Noto Sans"/>
          <w:b/>
          <w:bCs/>
          <w:sz w:val="20"/>
          <w:szCs w:val="20"/>
          <w:lang w:val="es-MX"/>
        </w:rPr>
        <w:br/>
      </w:r>
    </w:p>
    <w:p w14:paraId="62DB2956" w14:textId="77777777" w:rsidR="00462E90" w:rsidRPr="007970A7" w:rsidRDefault="00462E90" w:rsidP="00906E16">
      <w:pPr>
        <w:ind w:left="-284"/>
        <w:jc w:val="both"/>
        <w:rPr>
          <w:rFonts w:ascii="Noto Sans" w:hAnsi="Noto Sans" w:cs="Noto Sans"/>
          <w:b/>
          <w:bCs/>
          <w:sz w:val="20"/>
          <w:szCs w:val="20"/>
          <w:lang w:val="es-MX"/>
        </w:rPr>
      </w:pPr>
    </w:p>
    <w:p w14:paraId="0CCDBDCF" w14:textId="77777777" w:rsidR="00462E90" w:rsidRPr="007970A7" w:rsidRDefault="00462E90" w:rsidP="00906E16">
      <w:pPr>
        <w:ind w:left="-284"/>
        <w:jc w:val="both"/>
        <w:rPr>
          <w:rFonts w:ascii="Noto Sans" w:hAnsi="Noto Sans" w:cs="Noto Sans"/>
          <w:b/>
          <w:bCs/>
          <w:sz w:val="20"/>
          <w:szCs w:val="20"/>
          <w:lang w:val="es-MX"/>
        </w:rPr>
      </w:pPr>
      <w:r w:rsidRPr="007970A7">
        <w:rPr>
          <w:rFonts w:ascii="Noto Sans" w:hAnsi="Noto Sans" w:cs="Noto Sans"/>
          <w:b/>
          <w:bCs/>
          <w:sz w:val="20"/>
          <w:szCs w:val="20"/>
          <w:lang w:val="es-MX"/>
        </w:rPr>
        <w:t>Lic. Jorge Carlos Lizcano Arias </w:t>
      </w:r>
    </w:p>
    <w:p w14:paraId="4BF76173" w14:textId="77777777" w:rsidR="00462E90" w:rsidRPr="007970A7" w:rsidRDefault="00462E90" w:rsidP="00906E16">
      <w:pPr>
        <w:ind w:left="-284"/>
        <w:jc w:val="both"/>
        <w:rPr>
          <w:rFonts w:ascii="Noto Sans" w:hAnsi="Noto Sans" w:cs="Noto Sans"/>
          <w:sz w:val="20"/>
          <w:szCs w:val="20"/>
          <w:lang w:val="es-MX"/>
        </w:rPr>
      </w:pPr>
      <w:r w:rsidRPr="007970A7">
        <w:rPr>
          <w:rFonts w:ascii="Noto Sans" w:hAnsi="Noto Sans" w:cs="Noto Sans"/>
          <w:sz w:val="20"/>
          <w:szCs w:val="20"/>
          <w:lang w:val="es-MX"/>
        </w:rPr>
        <w:t>Titular de la Coordinación Técnica de Difusión</w:t>
      </w:r>
    </w:p>
    <w:p w14:paraId="24BE1CE5" w14:textId="569F169C" w:rsidR="007C521B" w:rsidRPr="00906E16" w:rsidRDefault="00462E90" w:rsidP="00906E16">
      <w:pPr>
        <w:ind w:left="-284"/>
        <w:jc w:val="both"/>
        <w:rPr>
          <w:rFonts w:ascii="Noto Sans" w:hAnsi="Noto Sans" w:cs="Noto Sans"/>
          <w:sz w:val="20"/>
          <w:szCs w:val="20"/>
        </w:rPr>
      </w:pPr>
      <w:r w:rsidRPr="007970A7">
        <w:rPr>
          <w:rFonts w:ascii="Noto Sans" w:hAnsi="Noto Sans" w:cs="Noto Sans"/>
          <w:sz w:val="20"/>
          <w:szCs w:val="20"/>
          <w:lang w:val="es-MX"/>
        </w:rPr>
        <w:t>y Área Requirente</w:t>
      </w:r>
    </w:p>
    <w:sectPr w:rsidR="007C521B" w:rsidRPr="00906E16" w:rsidSect="00906E16">
      <w:headerReference w:type="default" r:id="rId10"/>
      <w:footerReference w:type="default" r:id="rId11"/>
      <w:pgSz w:w="12240" w:h="15840"/>
      <w:pgMar w:top="2694" w:right="1701" w:bottom="2127" w:left="1701" w:header="708"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2BB7E" w14:textId="77777777" w:rsidR="00915B7F" w:rsidRDefault="00915B7F" w:rsidP="00A73D65">
      <w:r>
        <w:separator/>
      </w:r>
    </w:p>
  </w:endnote>
  <w:endnote w:type="continuationSeparator" w:id="0">
    <w:p w14:paraId="7A7F3397" w14:textId="77777777" w:rsidR="00915B7F" w:rsidRDefault="00915B7F"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altName w:val="Calibri"/>
    <w:charset w:val="00"/>
    <w:family w:val="swiss"/>
    <w:pitch w:val="variable"/>
    <w:sig w:usb0="20000287" w:usb1="00000003" w:usb2="00000000" w:usb3="00000000" w:csb0="0000019F" w:csb1="00000000"/>
  </w:font>
  <w:font w:name="Noto Sans">
    <w:altName w:val="Nirmala UI"/>
    <w:charset w:val="00"/>
    <w:family w:val="swiss"/>
    <w:pitch w:val="variable"/>
    <w:sig w:usb0="E00082FF" w:usb1="400078FF" w:usb2="00000021"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06185569"/>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19B0504A" w14:textId="6DAB266C" w:rsidR="00906E16" w:rsidRDefault="00906E16">
            <w:pPr>
              <w:pStyle w:val="Piedepgina"/>
              <w:jc w:val="right"/>
              <w:rPr>
                <w:sz w:val="18"/>
                <w:szCs w:val="18"/>
              </w:rPr>
            </w:pPr>
          </w:p>
          <w:p w14:paraId="7F657E09" w14:textId="5C499AED" w:rsidR="00906E16" w:rsidRDefault="00906E16">
            <w:pPr>
              <w:pStyle w:val="Piedepgina"/>
              <w:jc w:val="right"/>
              <w:rPr>
                <w:sz w:val="18"/>
                <w:szCs w:val="18"/>
              </w:rPr>
            </w:pPr>
          </w:p>
          <w:p w14:paraId="65002F10" w14:textId="79622D11" w:rsidR="00906E16" w:rsidRDefault="00906E16">
            <w:pPr>
              <w:pStyle w:val="Piedepgina"/>
              <w:jc w:val="right"/>
              <w:rPr>
                <w:sz w:val="18"/>
                <w:szCs w:val="18"/>
              </w:rPr>
            </w:pPr>
            <w:r>
              <w:rPr>
                <w:noProof/>
              </w:rPr>
              <mc:AlternateContent>
                <mc:Choice Requires="wps">
                  <w:drawing>
                    <wp:anchor distT="0" distB="0" distL="114300" distR="114300" simplePos="0" relativeHeight="251662336" behindDoc="0" locked="0" layoutInCell="1" allowOverlap="1" wp14:anchorId="11E2FACE" wp14:editId="0C015B9F">
                      <wp:simplePos x="0" y="0"/>
                      <wp:positionH relativeFrom="page">
                        <wp:posOffset>2165985</wp:posOffset>
                      </wp:positionH>
                      <wp:positionV relativeFrom="paragraph">
                        <wp:posOffset>104140</wp:posOffset>
                      </wp:positionV>
                      <wp:extent cx="5238750" cy="290195"/>
                      <wp:effectExtent l="0" t="0" r="0" b="0"/>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F1BBF" w14:textId="77777777" w:rsidR="00E64A75" w:rsidRPr="00C84662" w:rsidRDefault="00E64A75" w:rsidP="00E64A75">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558132D" w14:textId="77777777" w:rsidR="00E64A75" w:rsidRPr="00C84662" w:rsidRDefault="00E64A75" w:rsidP="00E64A75">
                                  <w:pPr>
                                    <w:spacing w:after="240"/>
                                    <w:rPr>
                                      <w:rFonts w:ascii="Times New Roman" w:eastAsia="Times New Roman" w:hAnsi="Times New Roman"/>
                                      <w:lang w:val="es-MX"/>
                                    </w:rPr>
                                  </w:pPr>
                                </w:p>
                                <w:p w14:paraId="2EE4864E" w14:textId="77777777" w:rsidR="00E64A75" w:rsidRPr="00C84662" w:rsidRDefault="00E64A75" w:rsidP="00E64A75">
                                  <w:pPr>
                                    <w:rPr>
                                      <w:rFonts w:ascii="Times New Roman" w:eastAsia="Times New Roman" w:hAnsi="Times New Roman"/>
                                      <w:lang w:val="es-MX"/>
                                    </w:rPr>
                                  </w:pPr>
                                </w:p>
                                <w:p w14:paraId="100139D4" w14:textId="77777777" w:rsidR="00E64A75" w:rsidRDefault="00E64A75" w:rsidP="00E64A75">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2FACE" id="Rectángulo 5" o:spid="_x0000_s1027" style="position:absolute;left:0;text-align:left;margin-left:170.55pt;margin-top:8.2pt;width:412.5pt;height:22.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" filled="f" stroked="f">
                      <v:textbox inset="2.53958mm,1.2694mm,2.53958mm,1.2694mm">
                        <w:txbxContent>
                          <w:p w14:paraId="067F1BBF" w14:textId="77777777" w:rsidR="00E64A75" w:rsidRPr="00C84662" w:rsidRDefault="00E64A75" w:rsidP="00E64A75">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5558132D" w14:textId="77777777" w:rsidR="00E64A75" w:rsidRPr="00C84662" w:rsidRDefault="00E64A75" w:rsidP="00E64A75">
                            <w:pPr>
                              <w:spacing w:after="240"/>
                              <w:rPr>
                                <w:rFonts w:ascii="Times New Roman" w:eastAsia="Times New Roman" w:hAnsi="Times New Roman"/>
                                <w:lang w:val="es-MX"/>
                              </w:rPr>
                            </w:pPr>
                          </w:p>
                          <w:p w14:paraId="2EE4864E" w14:textId="77777777" w:rsidR="00E64A75" w:rsidRPr="00C84662" w:rsidRDefault="00E64A75" w:rsidP="00E64A75">
                            <w:pPr>
                              <w:rPr>
                                <w:rFonts w:ascii="Times New Roman" w:eastAsia="Times New Roman" w:hAnsi="Times New Roman"/>
                                <w:lang w:val="es-MX"/>
                              </w:rPr>
                            </w:pPr>
                          </w:p>
                          <w:p w14:paraId="100139D4" w14:textId="77777777" w:rsidR="00E64A75" w:rsidRDefault="00E64A75" w:rsidP="00E64A75">
                            <w:pPr>
                              <w:textDirection w:val="btLr"/>
                            </w:pPr>
                          </w:p>
                        </w:txbxContent>
                      </v:textbox>
                      <w10:wrap anchorx="page"/>
                    </v:rect>
                  </w:pict>
                </mc:Fallback>
              </mc:AlternateContent>
            </w:r>
          </w:p>
          <w:p w14:paraId="3773DB1A" w14:textId="58D1882E" w:rsidR="00906E16" w:rsidRDefault="00906E16">
            <w:pPr>
              <w:pStyle w:val="Piedepgina"/>
              <w:jc w:val="right"/>
              <w:rPr>
                <w:sz w:val="18"/>
                <w:szCs w:val="18"/>
              </w:rPr>
            </w:pPr>
          </w:p>
          <w:p w14:paraId="2F630108" w14:textId="2DB30C85" w:rsidR="00E64A75" w:rsidRPr="00E64A75" w:rsidRDefault="00E64A75">
            <w:pPr>
              <w:pStyle w:val="Piedepgina"/>
              <w:jc w:val="right"/>
              <w:rPr>
                <w:sz w:val="18"/>
                <w:szCs w:val="18"/>
              </w:rPr>
            </w:pPr>
            <w:r w:rsidRPr="00E64A75">
              <w:rPr>
                <w:sz w:val="18"/>
                <w:szCs w:val="18"/>
              </w:rPr>
              <w:t xml:space="preserve">Página </w:t>
            </w:r>
            <w:r w:rsidRPr="00E64A75">
              <w:rPr>
                <w:b/>
                <w:bCs/>
                <w:sz w:val="18"/>
                <w:szCs w:val="18"/>
              </w:rPr>
              <w:fldChar w:fldCharType="begin"/>
            </w:r>
            <w:r w:rsidRPr="00E64A75">
              <w:rPr>
                <w:b/>
                <w:bCs/>
                <w:sz w:val="18"/>
                <w:szCs w:val="18"/>
              </w:rPr>
              <w:instrText>PAGE</w:instrText>
            </w:r>
            <w:r w:rsidRPr="00E64A75">
              <w:rPr>
                <w:b/>
                <w:bCs/>
                <w:sz w:val="18"/>
                <w:szCs w:val="18"/>
              </w:rPr>
              <w:fldChar w:fldCharType="separate"/>
            </w:r>
            <w:r w:rsidRPr="00E64A75">
              <w:rPr>
                <w:b/>
                <w:bCs/>
                <w:sz w:val="18"/>
                <w:szCs w:val="18"/>
              </w:rPr>
              <w:t>2</w:t>
            </w:r>
            <w:r w:rsidRPr="00E64A75">
              <w:rPr>
                <w:b/>
                <w:bCs/>
                <w:sz w:val="18"/>
                <w:szCs w:val="18"/>
              </w:rPr>
              <w:fldChar w:fldCharType="end"/>
            </w:r>
            <w:r w:rsidRPr="00E64A75">
              <w:rPr>
                <w:sz w:val="18"/>
                <w:szCs w:val="18"/>
              </w:rPr>
              <w:t xml:space="preserve"> de </w:t>
            </w:r>
            <w:r w:rsidRPr="00E64A75">
              <w:rPr>
                <w:b/>
                <w:bCs/>
                <w:sz w:val="18"/>
                <w:szCs w:val="18"/>
              </w:rPr>
              <w:fldChar w:fldCharType="begin"/>
            </w:r>
            <w:r w:rsidRPr="00E64A75">
              <w:rPr>
                <w:b/>
                <w:bCs/>
                <w:sz w:val="18"/>
                <w:szCs w:val="18"/>
              </w:rPr>
              <w:instrText>NUMPAGES</w:instrText>
            </w:r>
            <w:r w:rsidRPr="00E64A75">
              <w:rPr>
                <w:b/>
                <w:bCs/>
                <w:sz w:val="18"/>
                <w:szCs w:val="18"/>
              </w:rPr>
              <w:fldChar w:fldCharType="separate"/>
            </w:r>
            <w:r w:rsidRPr="00E64A75">
              <w:rPr>
                <w:b/>
                <w:bCs/>
                <w:sz w:val="18"/>
                <w:szCs w:val="18"/>
              </w:rPr>
              <w:t>2</w:t>
            </w:r>
            <w:r w:rsidRPr="00E64A75">
              <w:rPr>
                <w:b/>
                <w:bCs/>
                <w:sz w:val="18"/>
                <w:szCs w:val="18"/>
              </w:rPr>
              <w:fldChar w:fldCharType="end"/>
            </w:r>
          </w:p>
        </w:sdtContent>
      </w:sdt>
    </w:sdtContent>
  </w:sdt>
  <w:p w14:paraId="191D82A3" w14:textId="1787FD05"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FAAFA" w14:textId="77777777" w:rsidR="00915B7F" w:rsidRDefault="00915B7F" w:rsidP="00A73D65">
      <w:r>
        <w:separator/>
      </w:r>
    </w:p>
  </w:footnote>
  <w:footnote w:type="continuationSeparator" w:id="0">
    <w:p w14:paraId="31C3BBAC" w14:textId="77777777" w:rsidR="00915B7F" w:rsidRDefault="00915B7F"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1A8DC6" w:rsidR="00A73D65" w:rsidRDefault="00906E16" w:rsidP="0042575F">
    <w:pPr>
      <w:pStyle w:val="Encabezado"/>
      <w:tabs>
        <w:tab w:val="clear" w:pos="4419"/>
        <w:tab w:val="clear" w:pos="8838"/>
        <w:tab w:val="left" w:pos="1215"/>
      </w:tabs>
    </w:pPr>
    <w:r>
      <w:rPr>
        <w:noProof/>
      </w:rPr>
      <mc:AlternateContent>
        <mc:Choice Requires="wps">
          <w:drawing>
            <wp:anchor distT="0" distB="0" distL="114300" distR="114300" simplePos="0" relativeHeight="251660288" behindDoc="0" locked="0" layoutInCell="1" allowOverlap="1" wp14:anchorId="0FD8D8C1" wp14:editId="4E0C9A1F">
              <wp:simplePos x="0" y="0"/>
              <wp:positionH relativeFrom="margin">
                <wp:posOffset>-432435</wp:posOffset>
              </wp:positionH>
              <wp:positionV relativeFrom="paragraph">
                <wp:posOffset>797560</wp:posOffset>
              </wp:positionV>
              <wp:extent cx="5695950" cy="428625"/>
              <wp:effectExtent l="0" t="0" r="0" b="9525"/>
              <wp:wrapSquare wrapText="bothSides"/>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95950" cy="428625"/>
                      </a:xfrm>
                      <a:prstGeom prst="rect">
                        <a:avLst/>
                      </a:prstGeom>
                      <a:noFill/>
                      <a:ln>
                        <a:noFill/>
                      </a:ln>
                      <a:effectLst/>
                    </wps:spPr>
                    <wps:txbx>
                      <w:txbxContent>
                        <w:p w14:paraId="412FCD42" w14:textId="098E73B6" w:rsidR="007970A7" w:rsidRPr="007970A7" w:rsidRDefault="007970A7" w:rsidP="007970A7">
                          <w:pPr>
                            <w:spacing w:after="40" w:line="220" w:lineRule="exact"/>
                            <w:jc w:val="both"/>
                            <w:rPr>
                              <w:rFonts w:ascii="Noto Sans" w:hAnsi="Noto Sans" w:cs="Noto Sans"/>
                              <w:b/>
                              <w:bCs/>
                              <w:sz w:val="20"/>
                              <w:szCs w:val="20"/>
                            </w:rPr>
                          </w:pPr>
                          <w:r w:rsidRPr="007970A7">
                            <w:rPr>
                              <w:rFonts w:ascii="Noto Sans" w:hAnsi="Noto Sans" w:cs="Noto Sans"/>
                              <w:b/>
                              <w:bCs/>
                              <w:sz w:val="20"/>
                              <w:szCs w:val="20"/>
                              <w:lang w:val="es-MX"/>
                            </w:rPr>
                            <w:t>ANEXO TÉCNICO PARA LA PRESTACIÓN DEL SERVICIO DE DIFUSIÓN DE LAS CAMPAÑAS INSTITUCIONALES 202</w:t>
                          </w:r>
                          <w:r w:rsidR="00962628">
                            <w:rPr>
                              <w:rFonts w:ascii="Noto Sans" w:hAnsi="Noto Sans" w:cs="Noto Sans"/>
                              <w:b/>
                              <w:bCs/>
                              <w:sz w:val="20"/>
                              <w:szCs w:val="20"/>
                              <w:lang w:val="es-MX"/>
                            </w:rPr>
                            <w:t>6</w:t>
                          </w:r>
                          <w:r w:rsidRPr="007970A7">
                            <w:rPr>
                              <w:rFonts w:ascii="Noto Sans" w:hAnsi="Noto Sans" w:cs="Noto Sans"/>
                              <w:b/>
                              <w:bCs/>
                              <w:sz w:val="20"/>
                              <w:szCs w:val="20"/>
                              <w:lang w:val="es-MX"/>
                            </w:rPr>
                            <w:t>, A TRAVÉS DE MEDIOS DE COMUNICACIÓN DIGITALES.</w:t>
                          </w:r>
                        </w:p>
                        <w:p w14:paraId="5EB91465" w14:textId="23FC5503" w:rsidR="00DC389C" w:rsidRPr="007970A7" w:rsidRDefault="00DC389C" w:rsidP="00DC389C">
                          <w:pPr>
                            <w:spacing w:after="40" w:line="220" w:lineRule="exact"/>
                            <w:jc w:val="both"/>
                            <w:rPr>
                              <w:rFonts w:ascii="Noto Sans" w:hAnsi="Noto Sans" w:cs="Noto Sans"/>
                              <w:b/>
                              <w:bC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34.05pt;margin-top:62.8pt;width:448.5pt;height:3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" filled="f" stroked="f">
              <v:textbox inset="0,0,0,0">
                <w:txbxContent>
                  <w:p w14:paraId="412FCD42" w14:textId="098E73B6" w:rsidR="007970A7" w:rsidRPr="007970A7" w:rsidRDefault="007970A7" w:rsidP="007970A7">
                    <w:pPr>
                      <w:spacing w:after="40" w:line="220" w:lineRule="exact"/>
                      <w:jc w:val="both"/>
                      <w:rPr>
                        <w:rFonts w:ascii="Noto Sans" w:hAnsi="Noto Sans" w:cs="Noto Sans"/>
                        <w:b/>
                        <w:bCs/>
                        <w:sz w:val="20"/>
                        <w:szCs w:val="20"/>
                      </w:rPr>
                    </w:pPr>
                    <w:r w:rsidRPr="007970A7">
                      <w:rPr>
                        <w:rFonts w:ascii="Noto Sans" w:hAnsi="Noto Sans" w:cs="Noto Sans"/>
                        <w:b/>
                        <w:bCs/>
                        <w:sz w:val="20"/>
                        <w:szCs w:val="20"/>
                        <w:lang w:val="es-MX"/>
                      </w:rPr>
                      <w:t>ANEXO TÉCNICO PARA LA PRESTACIÓN DEL SERVICIO DE DIFUSIÓN DE LAS CAMPAÑAS INSTITUCIONALES 202</w:t>
                    </w:r>
                    <w:r w:rsidR="00962628">
                      <w:rPr>
                        <w:rFonts w:ascii="Noto Sans" w:hAnsi="Noto Sans" w:cs="Noto Sans"/>
                        <w:b/>
                        <w:bCs/>
                        <w:sz w:val="20"/>
                        <w:szCs w:val="20"/>
                        <w:lang w:val="es-MX"/>
                      </w:rPr>
                      <w:t>6</w:t>
                    </w:r>
                    <w:r w:rsidRPr="007970A7">
                      <w:rPr>
                        <w:rFonts w:ascii="Noto Sans" w:hAnsi="Noto Sans" w:cs="Noto Sans"/>
                        <w:b/>
                        <w:bCs/>
                        <w:sz w:val="20"/>
                        <w:szCs w:val="20"/>
                        <w:lang w:val="es-MX"/>
                      </w:rPr>
                      <w:t>, A TRAVÉS DE MEDIOS DE COMUNICACIÓN DIGITALES.</w:t>
                    </w:r>
                  </w:p>
                  <w:p w14:paraId="5EB91465" w14:textId="23FC5503" w:rsidR="00DC389C" w:rsidRPr="007970A7" w:rsidRDefault="00DC389C" w:rsidP="00DC389C">
                    <w:pPr>
                      <w:spacing w:after="40" w:line="220" w:lineRule="exact"/>
                      <w:jc w:val="both"/>
                      <w:rPr>
                        <w:rFonts w:ascii="Noto Sans" w:hAnsi="Noto Sans" w:cs="Noto Sans"/>
                        <w:b/>
                        <w:bCs/>
                        <w:sz w:val="20"/>
                        <w:szCs w:val="20"/>
                      </w:rPr>
                    </w:pPr>
                  </w:p>
                </w:txbxContent>
              </v:textbox>
              <w10:wrap type="square" anchorx="margin"/>
            </v:shape>
          </w:pict>
        </mc:Fallback>
      </mc:AlternateContent>
    </w:r>
    <w:r>
      <w:rPr>
        <w:noProof/>
        <w:color w:val="000000"/>
        <w:lang w:val="en-US"/>
      </w:rPr>
      <w:drawing>
        <wp:anchor distT="0" distB="0" distL="114300" distR="114300" simplePos="0" relativeHeight="251664384" behindDoc="1" locked="0" layoutInCell="1" allowOverlap="1" wp14:anchorId="73547711" wp14:editId="7461363C">
          <wp:simplePos x="0" y="0"/>
          <wp:positionH relativeFrom="page">
            <wp:posOffset>13335</wp:posOffset>
          </wp:positionH>
          <wp:positionV relativeFrom="paragraph">
            <wp:posOffset>-438785</wp:posOffset>
          </wp:positionV>
          <wp:extent cx="7757795" cy="10039985"/>
          <wp:effectExtent l="0" t="0" r="0" b="0"/>
          <wp:wrapNone/>
          <wp:docPr id="1202008785" name="Imagen 4"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902339" name="Imagen 4" descr="Text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7757795" cy="10039985"/>
                  </a:xfrm>
                  <a:prstGeom prst="rect">
                    <a:avLst/>
                  </a:prstGeom>
                </pic:spPr>
              </pic:pic>
            </a:graphicData>
          </a:graphic>
          <wp14:sizeRelH relativeFrom="page">
            <wp14:pctWidth>0</wp14:pctWidth>
          </wp14:sizeRelH>
          <wp14:sizeRelV relativeFrom="page">
            <wp14:pctHeight>0</wp14:pctHeight>
          </wp14:sizeRelV>
        </wp:anchor>
      </w:drawing>
    </w:r>
    <w:r w:rsidR="0042575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DD8"/>
    <w:multiLevelType w:val="multilevel"/>
    <w:tmpl w:val="3F540AF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081B66"/>
    <w:multiLevelType w:val="multilevel"/>
    <w:tmpl w:val="99A00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410C7A"/>
    <w:multiLevelType w:val="hybridMultilevel"/>
    <w:tmpl w:val="B1965F9A"/>
    <w:lvl w:ilvl="0" w:tplc="211475A0">
      <w:start w:val="3"/>
      <w:numFmt w:val="lowerLetter"/>
      <w:lvlText w:val="%1."/>
      <w:lvlJc w:val="left"/>
      <w:pPr>
        <w:tabs>
          <w:tab w:val="num" w:pos="720"/>
        </w:tabs>
        <w:ind w:left="720" w:hanging="360"/>
      </w:pPr>
    </w:lvl>
    <w:lvl w:ilvl="1" w:tplc="01567D68" w:tentative="1">
      <w:start w:val="1"/>
      <w:numFmt w:val="decimal"/>
      <w:lvlText w:val="%2."/>
      <w:lvlJc w:val="left"/>
      <w:pPr>
        <w:tabs>
          <w:tab w:val="num" w:pos="1440"/>
        </w:tabs>
        <w:ind w:left="1440" w:hanging="360"/>
      </w:pPr>
    </w:lvl>
    <w:lvl w:ilvl="2" w:tplc="62C201BC" w:tentative="1">
      <w:start w:val="1"/>
      <w:numFmt w:val="decimal"/>
      <w:lvlText w:val="%3."/>
      <w:lvlJc w:val="left"/>
      <w:pPr>
        <w:tabs>
          <w:tab w:val="num" w:pos="2160"/>
        </w:tabs>
        <w:ind w:left="2160" w:hanging="360"/>
      </w:pPr>
    </w:lvl>
    <w:lvl w:ilvl="3" w:tplc="CBD891FA" w:tentative="1">
      <w:start w:val="1"/>
      <w:numFmt w:val="decimal"/>
      <w:lvlText w:val="%4."/>
      <w:lvlJc w:val="left"/>
      <w:pPr>
        <w:tabs>
          <w:tab w:val="num" w:pos="2880"/>
        </w:tabs>
        <w:ind w:left="2880" w:hanging="360"/>
      </w:pPr>
    </w:lvl>
    <w:lvl w:ilvl="4" w:tplc="AC4433B6" w:tentative="1">
      <w:start w:val="1"/>
      <w:numFmt w:val="decimal"/>
      <w:lvlText w:val="%5."/>
      <w:lvlJc w:val="left"/>
      <w:pPr>
        <w:tabs>
          <w:tab w:val="num" w:pos="3600"/>
        </w:tabs>
        <w:ind w:left="3600" w:hanging="360"/>
      </w:pPr>
    </w:lvl>
    <w:lvl w:ilvl="5" w:tplc="40C2AACA" w:tentative="1">
      <w:start w:val="1"/>
      <w:numFmt w:val="decimal"/>
      <w:lvlText w:val="%6."/>
      <w:lvlJc w:val="left"/>
      <w:pPr>
        <w:tabs>
          <w:tab w:val="num" w:pos="4320"/>
        </w:tabs>
        <w:ind w:left="4320" w:hanging="360"/>
      </w:pPr>
    </w:lvl>
    <w:lvl w:ilvl="6" w:tplc="84AE9D6A" w:tentative="1">
      <w:start w:val="1"/>
      <w:numFmt w:val="decimal"/>
      <w:lvlText w:val="%7."/>
      <w:lvlJc w:val="left"/>
      <w:pPr>
        <w:tabs>
          <w:tab w:val="num" w:pos="5040"/>
        </w:tabs>
        <w:ind w:left="5040" w:hanging="360"/>
      </w:pPr>
    </w:lvl>
    <w:lvl w:ilvl="7" w:tplc="6AEC456A" w:tentative="1">
      <w:start w:val="1"/>
      <w:numFmt w:val="decimal"/>
      <w:lvlText w:val="%8."/>
      <w:lvlJc w:val="left"/>
      <w:pPr>
        <w:tabs>
          <w:tab w:val="num" w:pos="5760"/>
        </w:tabs>
        <w:ind w:left="5760" w:hanging="360"/>
      </w:pPr>
    </w:lvl>
    <w:lvl w:ilvl="8" w:tplc="7A58206A" w:tentative="1">
      <w:start w:val="1"/>
      <w:numFmt w:val="decimal"/>
      <w:lvlText w:val="%9."/>
      <w:lvlJc w:val="left"/>
      <w:pPr>
        <w:tabs>
          <w:tab w:val="num" w:pos="6480"/>
        </w:tabs>
        <w:ind w:left="6480" w:hanging="360"/>
      </w:pPr>
    </w:lvl>
  </w:abstractNum>
  <w:abstractNum w:abstractNumId="3" w15:restartNumberingAfterBreak="0">
    <w:nsid w:val="0E0C0C49"/>
    <w:multiLevelType w:val="multilevel"/>
    <w:tmpl w:val="FB06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431F07"/>
    <w:multiLevelType w:val="hybridMultilevel"/>
    <w:tmpl w:val="1408E53E"/>
    <w:lvl w:ilvl="0" w:tplc="037053C8">
      <w:start w:val="3"/>
      <w:numFmt w:val="lowerLetter"/>
      <w:lvlText w:val="%1."/>
      <w:lvlJc w:val="left"/>
      <w:pPr>
        <w:tabs>
          <w:tab w:val="num" w:pos="720"/>
        </w:tabs>
        <w:ind w:left="720" w:hanging="360"/>
      </w:pPr>
    </w:lvl>
    <w:lvl w:ilvl="1" w:tplc="A0320752" w:tentative="1">
      <w:start w:val="1"/>
      <w:numFmt w:val="decimal"/>
      <w:lvlText w:val="%2."/>
      <w:lvlJc w:val="left"/>
      <w:pPr>
        <w:tabs>
          <w:tab w:val="num" w:pos="1440"/>
        </w:tabs>
        <w:ind w:left="1440" w:hanging="360"/>
      </w:pPr>
    </w:lvl>
    <w:lvl w:ilvl="2" w:tplc="29421FB4" w:tentative="1">
      <w:start w:val="1"/>
      <w:numFmt w:val="decimal"/>
      <w:lvlText w:val="%3."/>
      <w:lvlJc w:val="left"/>
      <w:pPr>
        <w:tabs>
          <w:tab w:val="num" w:pos="2160"/>
        </w:tabs>
        <w:ind w:left="2160" w:hanging="360"/>
      </w:pPr>
    </w:lvl>
    <w:lvl w:ilvl="3" w:tplc="BA3ABBBC" w:tentative="1">
      <w:start w:val="1"/>
      <w:numFmt w:val="decimal"/>
      <w:lvlText w:val="%4."/>
      <w:lvlJc w:val="left"/>
      <w:pPr>
        <w:tabs>
          <w:tab w:val="num" w:pos="2880"/>
        </w:tabs>
        <w:ind w:left="2880" w:hanging="360"/>
      </w:pPr>
    </w:lvl>
    <w:lvl w:ilvl="4" w:tplc="8CF6490E" w:tentative="1">
      <w:start w:val="1"/>
      <w:numFmt w:val="decimal"/>
      <w:lvlText w:val="%5."/>
      <w:lvlJc w:val="left"/>
      <w:pPr>
        <w:tabs>
          <w:tab w:val="num" w:pos="3600"/>
        </w:tabs>
        <w:ind w:left="3600" w:hanging="360"/>
      </w:pPr>
    </w:lvl>
    <w:lvl w:ilvl="5" w:tplc="29482556" w:tentative="1">
      <w:start w:val="1"/>
      <w:numFmt w:val="decimal"/>
      <w:lvlText w:val="%6."/>
      <w:lvlJc w:val="left"/>
      <w:pPr>
        <w:tabs>
          <w:tab w:val="num" w:pos="4320"/>
        </w:tabs>
        <w:ind w:left="4320" w:hanging="360"/>
      </w:pPr>
    </w:lvl>
    <w:lvl w:ilvl="6" w:tplc="CDE0A86E" w:tentative="1">
      <w:start w:val="1"/>
      <w:numFmt w:val="decimal"/>
      <w:lvlText w:val="%7."/>
      <w:lvlJc w:val="left"/>
      <w:pPr>
        <w:tabs>
          <w:tab w:val="num" w:pos="5040"/>
        </w:tabs>
        <w:ind w:left="5040" w:hanging="360"/>
      </w:pPr>
    </w:lvl>
    <w:lvl w:ilvl="7" w:tplc="F530F3B2" w:tentative="1">
      <w:start w:val="1"/>
      <w:numFmt w:val="decimal"/>
      <w:lvlText w:val="%8."/>
      <w:lvlJc w:val="left"/>
      <w:pPr>
        <w:tabs>
          <w:tab w:val="num" w:pos="5760"/>
        </w:tabs>
        <w:ind w:left="5760" w:hanging="360"/>
      </w:pPr>
    </w:lvl>
    <w:lvl w:ilvl="8" w:tplc="BB820294" w:tentative="1">
      <w:start w:val="1"/>
      <w:numFmt w:val="decimal"/>
      <w:lvlText w:val="%9."/>
      <w:lvlJc w:val="left"/>
      <w:pPr>
        <w:tabs>
          <w:tab w:val="num" w:pos="6480"/>
        </w:tabs>
        <w:ind w:left="6480" w:hanging="360"/>
      </w:pPr>
    </w:lvl>
  </w:abstractNum>
  <w:abstractNum w:abstractNumId="5" w15:restartNumberingAfterBreak="0">
    <w:nsid w:val="10182574"/>
    <w:multiLevelType w:val="multilevel"/>
    <w:tmpl w:val="F9CA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6F6476"/>
    <w:multiLevelType w:val="multilevel"/>
    <w:tmpl w:val="A3EC484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8775CA"/>
    <w:multiLevelType w:val="multilevel"/>
    <w:tmpl w:val="43F4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746D40"/>
    <w:multiLevelType w:val="hybridMultilevel"/>
    <w:tmpl w:val="ED2C4066"/>
    <w:lvl w:ilvl="0" w:tplc="E39A4498">
      <w:start w:val="2"/>
      <w:numFmt w:val="lowerLetter"/>
      <w:lvlText w:val="%1."/>
      <w:lvlJc w:val="left"/>
      <w:pPr>
        <w:tabs>
          <w:tab w:val="num" w:pos="720"/>
        </w:tabs>
        <w:ind w:left="720" w:hanging="360"/>
      </w:pPr>
    </w:lvl>
    <w:lvl w:ilvl="1" w:tplc="F53EED1E" w:tentative="1">
      <w:start w:val="1"/>
      <w:numFmt w:val="decimal"/>
      <w:lvlText w:val="%2."/>
      <w:lvlJc w:val="left"/>
      <w:pPr>
        <w:tabs>
          <w:tab w:val="num" w:pos="1440"/>
        </w:tabs>
        <w:ind w:left="1440" w:hanging="360"/>
      </w:pPr>
    </w:lvl>
    <w:lvl w:ilvl="2" w:tplc="5F1AC544" w:tentative="1">
      <w:start w:val="1"/>
      <w:numFmt w:val="decimal"/>
      <w:lvlText w:val="%3."/>
      <w:lvlJc w:val="left"/>
      <w:pPr>
        <w:tabs>
          <w:tab w:val="num" w:pos="2160"/>
        </w:tabs>
        <w:ind w:left="2160" w:hanging="360"/>
      </w:pPr>
    </w:lvl>
    <w:lvl w:ilvl="3" w:tplc="3790F6F2" w:tentative="1">
      <w:start w:val="1"/>
      <w:numFmt w:val="decimal"/>
      <w:lvlText w:val="%4."/>
      <w:lvlJc w:val="left"/>
      <w:pPr>
        <w:tabs>
          <w:tab w:val="num" w:pos="2880"/>
        </w:tabs>
        <w:ind w:left="2880" w:hanging="360"/>
      </w:pPr>
    </w:lvl>
    <w:lvl w:ilvl="4" w:tplc="603EAC6A" w:tentative="1">
      <w:start w:val="1"/>
      <w:numFmt w:val="decimal"/>
      <w:lvlText w:val="%5."/>
      <w:lvlJc w:val="left"/>
      <w:pPr>
        <w:tabs>
          <w:tab w:val="num" w:pos="3600"/>
        </w:tabs>
        <w:ind w:left="3600" w:hanging="360"/>
      </w:pPr>
    </w:lvl>
    <w:lvl w:ilvl="5" w:tplc="0F8CEE1E" w:tentative="1">
      <w:start w:val="1"/>
      <w:numFmt w:val="decimal"/>
      <w:lvlText w:val="%6."/>
      <w:lvlJc w:val="left"/>
      <w:pPr>
        <w:tabs>
          <w:tab w:val="num" w:pos="4320"/>
        </w:tabs>
        <w:ind w:left="4320" w:hanging="360"/>
      </w:pPr>
    </w:lvl>
    <w:lvl w:ilvl="6" w:tplc="8F4A8992" w:tentative="1">
      <w:start w:val="1"/>
      <w:numFmt w:val="decimal"/>
      <w:lvlText w:val="%7."/>
      <w:lvlJc w:val="left"/>
      <w:pPr>
        <w:tabs>
          <w:tab w:val="num" w:pos="5040"/>
        </w:tabs>
        <w:ind w:left="5040" w:hanging="360"/>
      </w:pPr>
    </w:lvl>
    <w:lvl w:ilvl="7" w:tplc="1430E166" w:tentative="1">
      <w:start w:val="1"/>
      <w:numFmt w:val="decimal"/>
      <w:lvlText w:val="%8."/>
      <w:lvlJc w:val="left"/>
      <w:pPr>
        <w:tabs>
          <w:tab w:val="num" w:pos="5760"/>
        </w:tabs>
        <w:ind w:left="5760" w:hanging="360"/>
      </w:pPr>
    </w:lvl>
    <w:lvl w:ilvl="8" w:tplc="9AF63C96" w:tentative="1">
      <w:start w:val="1"/>
      <w:numFmt w:val="decimal"/>
      <w:lvlText w:val="%9."/>
      <w:lvlJc w:val="left"/>
      <w:pPr>
        <w:tabs>
          <w:tab w:val="num" w:pos="6480"/>
        </w:tabs>
        <w:ind w:left="6480" w:hanging="360"/>
      </w:pPr>
    </w:lvl>
  </w:abstractNum>
  <w:abstractNum w:abstractNumId="9" w15:restartNumberingAfterBreak="0">
    <w:nsid w:val="14F24353"/>
    <w:multiLevelType w:val="multilevel"/>
    <w:tmpl w:val="38F0C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957957"/>
    <w:multiLevelType w:val="hybridMultilevel"/>
    <w:tmpl w:val="8B4E9D3C"/>
    <w:lvl w:ilvl="0" w:tplc="87844C3C">
      <w:start w:val="3"/>
      <w:numFmt w:val="lowerLetter"/>
      <w:lvlText w:val="%1."/>
      <w:lvlJc w:val="left"/>
      <w:pPr>
        <w:tabs>
          <w:tab w:val="num" w:pos="720"/>
        </w:tabs>
        <w:ind w:left="720" w:hanging="360"/>
      </w:pPr>
    </w:lvl>
    <w:lvl w:ilvl="1" w:tplc="09148CFE" w:tentative="1">
      <w:start w:val="1"/>
      <w:numFmt w:val="decimal"/>
      <w:lvlText w:val="%2."/>
      <w:lvlJc w:val="left"/>
      <w:pPr>
        <w:tabs>
          <w:tab w:val="num" w:pos="1440"/>
        </w:tabs>
        <w:ind w:left="1440" w:hanging="360"/>
      </w:pPr>
    </w:lvl>
    <w:lvl w:ilvl="2" w:tplc="6FCAFC64" w:tentative="1">
      <w:start w:val="1"/>
      <w:numFmt w:val="decimal"/>
      <w:lvlText w:val="%3."/>
      <w:lvlJc w:val="left"/>
      <w:pPr>
        <w:tabs>
          <w:tab w:val="num" w:pos="2160"/>
        </w:tabs>
        <w:ind w:left="2160" w:hanging="360"/>
      </w:pPr>
    </w:lvl>
    <w:lvl w:ilvl="3" w:tplc="49DCEEB0" w:tentative="1">
      <w:start w:val="1"/>
      <w:numFmt w:val="decimal"/>
      <w:lvlText w:val="%4."/>
      <w:lvlJc w:val="left"/>
      <w:pPr>
        <w:tabs>
          <w:tab w:val="num" w:pos="2880"/>
        </w:tabs>
        <w:ind w:left="2880" w:hanging="360"/>
      </w:pPr>
    </w:lvl>
    <w:lvl w:ilvl="4" w:tplc="7052774A" w:tentative="1">
      <w:start w:val="1"/>
      <w:numFmt w:val="decimal"/>
      <w:lvlText w:val="%5."/>
      <w:lvlJc w:val="left"/>
      <w:pPr>
        <w:tabs>
          <w:tab w:val="num" w:pos="3600"/>
        </w:tabs>
        <w:ind w:left="3600" w:hanging="360"/>
      </w:pPr>
    </w:lvl>
    <w:lvl w:ilvl="5" w:tplc="C20244A8" w:tentative="1">
      <w:start w:val="1"/>
      <w:numFmt w:val="decimal"/>
      <w:lvlText w:val="%6."/>
      <w:lvlJc w:val="left"/>
      <w:pPr>
        <w:tabs>
          <w:tab w:val="num" w:pos="4320"/>
        </w:tabs>
        <w:ind w:left="4320" w:hanging="360"/>
      </w:pPr>
    </w:lvl>
    <w:lvl w:ilvl="6" w:tplc="6FB86DF6" w:tentative="1">
      <w:start w:val="1"/>
      <w:numFmt w:val="decimal"/>
      <w:lvlText w:val="%7."/>
      <w:lvlJc w:val="left"/>
      <w:pPr>
        <w:tabs>
          <w:tab w:val="num" w:pos="5040"/>
        </w:tabs>
        <w:ind w:left="5040" w:hanging="360"/>
      </w:pPr>
    </w:lvl>
    <w:lvl w:ilvl="7" w:tplc="D91C9268" w:tentative="1">
      <w:start w:val="1"/>
      <w:numFmt w:val="decimal"/>
      <w:lvlText w:val="%8."/>
      <w:lvlJc w:val="left"/>
      <w:pPr>
        <w:tabs>
          <w:tab w:val="num" w:pos="5760"/>
        </w:tabs>
        <w:ind w:left="5760" w:hanging="360"/>
      </w:pPr>
    </w:lvl>
    <w:lvl w:ilvl="8" w:tplc="217CEDD8" w:tentative="1">
      <w:start w:val="1"/>
      <w:numFmt w:val="decimal"/>
      <w:lvlText w:val="%9."/>
      <w:lvlJc w:val="left"/>
      <w:pPr>
        <w:tabs>
          <w:tab w:val="num" w:pos="6480"/>
        </w:tabs>
        <w:ind w:left="6480" w:hanging="360"/>
      </w:pPr>
    </w:lvl>
  </w:abstractNum>
  <w:abstractNum w:abstractNumId="11" w15:restartNumberingAfterBreak="0">
    <w:nsid w:val="2AAD6E4B"/>
    <w:multiLevelType w:val="multilevel"/>
    <w:tmpl w:val="E398F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476AD1"/>
    <w:multiLevelType w:val="multilevel"/>
    <w:tmpl w:val="3E466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D466BC"/>
    <w:multiLevelType w:val="multilevel"/>
    <w:tmpl w:val="2E943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480094"/>
    <w:multiLevelType w:val="multilevel"/>
    <w:tmpl w:val="C7ACB7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3A533582"/>
    <w:multiLevelType w:val="hybridMultilevel"/>
    <w:tmpl w:val="13CAB462"/>
    <w:lvl w:ilvl="0" w:tplc="AF34FB36">
      <w:start w:val="2"/>
      <w:numFmt w:val="lowerLetter"/>
      <w:lvlText w:val="%1."/>
      <w:lvlJc w:val="left"/>
      <w:pPr>
        <w:tabs>
          <w:tab w:val="num" w:pos="720"/>
        </w:tabs>
        <w:ind w:left="720" w:hanging="360"/>
      </w:pPr>
    </w:lvl>
    <w:lvl w:ilvl="1" w:tplc="0F384E0C" w:tentative="1">
      <w:start w:val="1"/>
      <w:numFmt w:val="decimal"/>
      <w:lvlText w:val="%2."/>
      <w:lvlJc w:val="left"/>
      <w:pPr>
        <w:tabs>
          <w:tab w:val="num" w:pos="1440"/>
        </w:tabs>
        <w:ind w:left="1440" w:hanging="360"/>
      </w:pPr>
    </w:lvl>
    <w:lvl w:ilvl="2" w:tplc="9580D11E" w:tentative="1">
      <w:start w:val="1"/>
      <w:numFmt w:val="decimal"/>
      <w:lvlText w:val="%3."/>
      <w:lvlJc w:val="left"/>
      <w:pPr>
        <w:tabs>
          <w:tab w:val="num" w:pos="2160"/>
        </w:tabs>
        <w:ind w:left="2160" w:hanging="360"/>
      </w:pPr>
    </w:lvl>
    <w:lvl w:ilvl="3" w:tplc="089EF846" w:tentative="1">
      <w:start w:val="1"/>
      <w:numFmt w:val="decimal"/>
      <w:lvlText w:val="%4."/>
      <w:lvlJc w:val="left"/>
      <w:pPr>
        <w:tabs>
          <w:tab w:val="num" w:pos="2880"/>
        </w:tabs>
        <w:ind w:left="2880" w:hanging="360"/>
      </w:pPr>
    </w:lvl>
    <w:lvl w:ilvl="4" w:tplc="1AB62046" w:tentative="1">
      <w:start w:val="1"/>
      <w:numFmt w:val="decimal"/>
      <w:lvlText w:val="%5."/>
      <w:lvlJc w:val="left"/>
      <w:pPr>
        <w:tabs>
          <w:tab w:val="num" w:pos="3600"/>
        </w:tabs>
        <w:ind w:left="3600" w:hanging="360"/>
      </w:pPr>
    </w:lvl>
    <w:lvl w:ilvl="5" w:tplc="85628670" w:tentative="1">
      <w:start w:val="1"/>
      <w:numFmt w:val="decimal"/>
      <w:lvlText w:val="%6."/>
      <w:lvlJc w:val="left"/>
      <w:pPr>
        <w:tabs>
          <w:tab w:val="num" w:pos="4320"/>
        </w:tabs>
        <w:ind w:left="4320" w:hanging="360"/>
      </w:pPr>
    </w:lvl>
    <w:lvl w:ilvl="6" w:tplc="EF60D40E" w:tentative="1">
      <w:start w:val="1"/>
      <w:numFmt w:val="decimal"/>
      <w:lvlText w:val="%7."/>
      <w:lvlJc w:val="left"/>
      <w:pPr>
        <w:tabs>
          <w:tab w:val="num" w:pos="5040"/>
        </w:tabs>
        <w:ind w:left="5040" w:hanging="360"/>
      </w:pPr>
    </w:lvl>
    <w:lvl w:ilvl="7" w:tplc="9F04C814" w:tentative="1">
      <w:start w:val="1"/>
      <w:numFmt w:val="decimal"/>
      <w:lvlText w:val="%8."/>
      <w:lvlJc w:val="left"/>
      <w:pPr>
        <w:tabs>
          <w:tab w:val="num" w:pos="5760"/>
        </w:tabs>
        <w:ind w:left="5760" w:hanging="360"/>
      </w:pPr>
    </w:lvl>
    <w:lvl w:ilvl="8" w:tplc="2246521A" w:tentative="1">
      <w:start w:val="1"/>
      <w:numFmt w:val="decimal"/>
      <w:lvlText w:val="%9."/>
      <w:lvlJc w:val="left"/>
      <w:pPr>
        <w:tabs>
          <w:tab w:val="num" w:pos="6480"/>
        </w:tabs>
        <w:ind w:left="6480" w:hanging="360"/>
      </w:pPr>
    </w:lvl>
  </w:abstractNum>
  <w:abstractNum w:abstractNumId="18" w15:restartNumberingAfterBreak="0">
    <w:nsid w:val="3B573FF3"/>
    <w:multiLevelType w:val="multilevel"/>
    <w:tmpl w:val="1C4CD6F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A90AE5"/>
    <w:multiLevelType w:val="multilevel"/>
    <w:tmpl w:val="47526C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670D64"/>
    <w:multiLevelType w:val="multilevel"/>
    <w:tmpl w:val="AB4A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497A138B"/>
    <w:multiLevelType w:val="multilevel"/>
    <w:tmpl w:val="E81C31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A87C93"/>
    <w:multiLevelType w:val="multilevel"/>
    <w:tmpl w:val="AE50BF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490203"/>
    <w:multiLevelType w:val="multilevel"/>
    <w:tmpl w:val="979CD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873E9E"/>
    <w:multiLevelType w:val="multilevel"/>
    <w:tmpl w:val="DFAC47E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062B44"/>
    <w:multiLevelType w:val="multilevel"/>
    <w:tmpl w:val="2878D5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602A70"/>
    <w:multiLevelType w:val="multilevel"/>
    <w:tmpl w:val="8E840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AD69B0"/>
    <w:multiLevelType w:val="multilevel"/>
    <w:tmpl w:val="8AD465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2C37E4"/>
    <w:multiLevelType w:val="multilevel"/>
    <w:tmpl w:val="D9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C83C16"/>
    <w:multiLevelType w:val="multilevel"/>
    <w:tmpl w:val="8D488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D6501A"/>
    <w:multiLevelType w:val="multilevel"/>
    <w:tmpl w:val="8F3EE9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B3F0CD2"/>
    <w:multiLevelType w:val="multilevel"/>
    <w:tmpl w:val="F96C38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36B2C75"/>
    <w:multiLevelType w:val="multilevel"/>
    <w:tmpl w:val="A3C4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70B2F2C"/>
    <w:multiLevelType w:val="hybridMultilevel"/>
    <w:tmpl w:val="AE627324"/>
    <w:lvl w:ilvl="0" w:tplc="B49AFE24">
      <w:start w:val="2"/>
      <w:numFmt w:val="lowerLetter"/>
      <w:lvlText w:val="%1."/>
      <w:lvlJc w:val="left"/>
      <w:pPr>
        <w:tabs>
          <w:tab w:val="num" w:pos="720"/>
        </w:tabs>
        <w:ind w:left="720" w:hanging="360"/>
      </w:pPr>
    </w:lvl>
    <w:lvl w:ilvl="1" w:tplc="45B6CC4C" w:tentative="1">
      <w:start w:val="1"/>
      <w:numFmt w:val="decimal"/>
      <w:lvlText w:val="%2."/>
      <w:lvlJc w:val="left"/>
      <w:pPr>
        <w:tabs>
          <w:tab w:val="num" w:pos="1440"/>
        </w:tabs>
        <w:ind w:left="1440" w:hanging="360"/>
      </w:pPr>
    </w:lvl>
    <w:lvl w:ilvl="2" w:tplc="2F6A3A1A" w:tentative="1">
      <w:start w:val="1"/>
      <w:numFmt w:val="decimal"/>
      <w:lvlText w:val="%3."/>
      <w:lvlJc w:val="left"/>
      <w:pPr>
        <w:tabs>
          <w:tab w:val="num" w:pos="2160"/>
        </w:tabs>
        <w:ind w:left="2160" w:hanging="360"/>
      </w:pPr>
    </w:lvl>
    <w:lvl w:ilvl="3" w:tplc="48EABDCE" w:tentative="1">
      <w:start w:val="1"/>
      <w:numFmt w:val="decimal"/>
      <w:lvlText w:val="%4."/>
      <w:lvlJc w:val="left"/>
      <w:pPr>
        <w:tabs>
          <w:tab w:val="num" w:pos="2880"/>
        </w:tabs>
        <w:ind w:left="2880" w:hanging="360"/>
      </w:pPr>
    </w:lvl>
    <w:lvl w:ilvl="4" w:tplc="0EF2AA12" w:tentative="1">
      <w:start w:val="1"/>
      <w:numFmt w:val="decimal"/>
      <w:lvlText w:val="%5."/>
      <w:lvlJc w:val="left"/>
      <w:pPr>
        <w:tabs>
          <w:tab w:val="num" w:pos="3600"/>
        </w:tabs>
        <w:ind w:left="3600" w:hanging="360"/>
      </w:pPr>
    </w:lvl>
    <w:lvl w:ilvl="5" w:tplc="0EDA1712" w:tentative="1">
      <w:start w:val="1"/>
      <w:numFmt w:val="decimal"/>
      <w:lvlText w:val="%6."/>
      <w:lvlJc w:val="left"/>
      <w:pPr>
        <w:tabs>
          <w:tab w:val="num" w:pos="4320"/>
        </w:tabs>
        <w:ind w:left="4320" w:hanging="360"/>
      </w:pPr>
    </w:lvl>
    <w:lvl w:ilvl="6" w:tplc="64B62FCC" w:tentative="1">
      <w:start w:val="1"/>
      <w:numFmt w:val="decimal"/>
      <w:lvlText w:val="%7."/>
      <w:lvlJc w:val="left"/>
      <w:pPr>
        <w:tabs>
          <w:tab w:val="num" w:pos="5040"/>
        </w:tabs>
        <w:ind w:left="5040" w:hanging="360"/>
      </w:pPr>
    </w:lvl>
    <w:lvl w:ilvl="7" w:tplc="240EA808" w:tentative="1">
      <w:start w:val="1"/>
      <w:numFmt w:val="decimal"/>
      <w:lvlText w:val="%8."/>
      <w:lvlJc w:val="left"/>
      <w:pPr>
        <w:tabs>
          <w:tab w:val="num" w:pos="5760"/>
        </w:tabs>
        <w:ind w:left="5760" w:hanging="360"/>
      </w:pPr>
    </w:lvl>
    <w:lvl w:ilvl="8" w:tplc="D19274E6" w:tentative="1">
      <w:start w:val="1"/>
      <w:numFmt w:val="decimal"/>
      <w:lvlText w:val="%9."/>
      <w:lvlJc w:val="left"/>
      <w:pPr>
        <w:tabs>
          <w:tab w:val="num" w:pos="6480"/>
        </w:tabs>
        <w:ind w:left="6480" w:hanging="360"/>
      </w:pPr>
    </w:lvl>
  </w:abstractNum>
  <w:abstractNum w:abstractNumId="36" w15:restartNumberingAfterBreak="0">
    <w:nsid w:val="7B802967"/>
    <w:multiLevelType w:val="multilevel"/>
    <w:tmpl w:val="002AA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FFD5359"/>
    <w:multiLevelType w:val="multilevel"/>
    <w:tmpl w:val="7794E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15"/>
    <w:lvlOverride w:ilvl="0">
      <w:lvl w:ilvl="0">
        <w:numFmt w:val="lowerLetter"/>
        <w:lvlText w:val="%1."/>
        <w:lvlJc w:val="left"/>
        <w:rPr>
          <w:b/>
          <w:bCs/>
        </w:rPr>
      </w:lvl>
    </w:lvlOverride>
  </w:num>
  <w:num w:numId="2" w16cid:durableId="456142438">
    <w:abstractNumId w:val="21"/>
  </w:num>
  <w:num w:numId="3" w16cid:durableId="2066026405">
    <w:abstractNumId w:val="32"/>
    <w:lvlOverride w:ilvl="0">
      <w:lvl w:ilvl="0">
        <w:numFmt w:val="lowerLetter"/>
        <w:lvlText w:val="%1."/>
        <w:lvlJc w:val="left"/>
        <w:rPr>
          <w:b/>
          <w:bCs/>
        </w:rPr>
      </w:lvl>
    </w:lvlOverride>
  </w:num>
  <w:num w:numId="4" w16cid:durableId="856389220">
    <w:abstractNumId w:val="16"/>
  </w:num>
  <w:num w:numId="5" w16cid:durableId="1323972994">
    <w:abstractNumId w:val="13"/>
    <w:lvlOverride w:ilvl="0">
      <w:lvl w:ilvl="0">
        <w:numFmt w:val="lowerLetter"/>
        <w:lvlText w:val="%1."/>
        <w:lvlJc w:val="left"/>
      </w:lvl>
    </w:lvlOverride>
  </w:num>
  <w:num w:numId="6" w16cid:durableId="126633721">
    <w:abstractNumId w:val="17"/>
  </w:num>
  <w:num w:numId="7" w16cid:durableId="546797262">
    <w:abstractNumId w:val="4"/>
  </w:num>
  <w:num w:numId="8" w16cid:durableId="287202440">
    <w:abstractNumId w:val="7"/>
  </w:num>
  <w:num w:numId="9" w16cid:durableId="528881669">
    <w:abstractNumId w:val="34"/>
    <w:lvlOverride w:ilvl="0">
      <w:lvl w:ilvl="0">
        <w:numFmt w:val="lowerLetter"/>
        <w:lvlText w:val="%1."/>
        <w:lvlJc w:val="left"/>
      </w:lvl>
    </w:lvlOverride>
  </w:num>
  <w:num w:numId="10" w16cid:durableId="1234854477">
    <w:abstractNumId w:val="8"/>
  </w:num>
  <w:num w:numId="11" w16cid:durableId="2082675695">
    <w:abstractNumId w:val="2"/>
  </w:num>
  <w:num w:numId="12" w16cid:durableId="1537693971">
    <w:abstractNumId w:val="29"/>
  </w:num>
  <w:num w:numId="13" w16cid:durableId="23486738">
    <w:abstractNumId w:val="27"/>
    <w:lvlOverride w:ilvl="0">
      <w:lvl w:ilvl="0">
        <w:numFmt w:val="lowerLetter"/>
        <w:lvlText w:val="%1."/>
        <w:lvlJc w:val="left"/>
      </w:lvl>
    </w:lvlOverride>
  </w:num>
  <w:num w:numId="14" w16cid:durableId="189883553">
    <w:abstractNumId w:val="35"/>
  </w:num>
  <w:num w:numId="15" w16cid:durableId="311257011">
    <w:abstractNumId w:val="10"/>
  </w:num>
  <w:num w:numId="16" w16cid:durableId="1357191563">
    <w:abstractNumId w:val="3"/>
  </w:num>
  <w:num w:numId="17" w16cid:durableId="1286233994">
    <w:abstractNumId w:val="37"/>
  </w:num>
  <w:num w:numId="18" w16cid:durableId="808279298">
    <w:abstractNumId w:val="33"/>
    <w:lvlOverride w:ilvl="0">
      <w:lvl w:ilvl="0">
        <w:numFmt w:val="decimal"/>
        <w:lvlText w:val="%1."/>
        <w:lvlJc w:val="left"/>
      </w:lvl>
    </w:lvlOverride>
  </w:num>
  <w:num w:numId="19" w16cid:durableId="1792475858">
    <w:abstractNumId w:val="6"/>
    <w:lvlOverride w:ilvl="0">
      <w:lvl w:ilvl="0">
        <w:numFmt w:val="decimal"/>
        <w:lvlText w:val="%1."/>
        <w:lvlJc w:val="left"/>
      </w:lvl>
    </w:lvlOverride>
  </w:num>
  <w:num w:numId="20" w16cid:durableId="1733649703">
    <w:abstractNumId w:val="12"/>
  </w:num>
  <w:num w:numId="21" w16cid:durableId="503663434">
    <w:abstractNumId w:val="28"/>
    <w:lvlOverride w:ilvl="0">
      <w:lvl w:ilvl="0">
        <w:numFmt w:val="decimal"/>
        <w:lvlText w:val="%1."/>
        <w:lvlJc w:val="left"/>
      </w:lvl>
    </w:lvlOverride>
  </w:num>
  <w:num w:numId="22" w16cid:durableId="1160468149">
    <w:abstractNumId w:val="0"/>
  </w:num>
  <w:num w:numId="23" w16cid:durableId="1440024387">
    <w:abstractNumId w:val="36"/>
  </w:num>
  <w:num w:numId="24" w16cid:durableId="1605192224">
    <w:abstractNumId w:val="26"/>
    <w:lvlOverride w:ilvl="0">
      <w:lvl w:ilvl="0">
        <w:numFmt w:val="decimal"/>
        <w:lvlText w:val="%1."/>
        <w:lvlJc w:val="left"/>
      </w:lvl>
    </w:lvlOverride>
  </w:num>
  <w:num w:numId="25" w16cid:durableId="1697777009">
    <w:abstractNumId w:val="18"/>
    <w:lvlOverride w:ilvl="0">
      <w:lvl w:ilvl="0">
        <w:numFmt w:val="decimal"/>
        <w:lvlText w:val="%1."/>
        <w:lvlJc w:val="left"/>
      </w:lvl>
    </w:lvlOverride>
  </w:num>
  <w:num w:numId="26" w16cid:durableId="807667650">
    <w:abstractNumId w:val="19"/>
    <w:lvlOverride w:ilvl="0">
      <w:lvl w:ilvl="0">
        <w:numFmt w:val="decimal"/>
        <w:lvlText w:val="%1."/>
        <w:lvlJc w:val="left"/>
      </w:lvl>
    </w:lvlOverride>
  </w:num>
  <w:num w:numId="27" w16cid:durableId="392389707">
    <w:abstractNumId w:val="9"/>
  </w:num>
  <w:num w:numId="28" w16cid:durableId="401149066">
    <w:abstractNumId w:val="23"/>
    <w:lvlOverride w:ilvl="0">
      <w:lvl w:ilvl="0">
        <w:numFmt w:val="decimal"/>
        <w:lvlText w:val="%1."/>
        <w:lvlJc w:val="left"/>
      </w:lvl>
    </w:lvlOverride>
  </w:num>
  <w:num w:numId="29" w16cid:durableId="1796944127">
    <w:abstractNumId w:val="22"/>
  </w:num>
  <w:num w:numId="30" w16cid:durableId="1612662033">
    <w:abstractNumId w:val="5"/>
    <w:lvlOverride w:ilvl="0">
      <w:lvl w:ilvl="0">
        <w:numFmt w:val="lowerLetter"/>
        <w:lvlText w:val="%1."/>
        <w:lvlJc w:val="left"/>
      </w:lvl>
    </w:lvlOverride>
  </w:num>
  <w:num w:numId="31" w16cid:durableId="487402711">
    <w:abstractNumId w:val="24"/>
  </w:num>
  <w:num w:numId="32" w16cid:durableId="359356391">
    <w:abstractNumId w:val="30"/>
    <w:lvlOverride w:ilvl="0">
      <w:lvl w:ilvl="0">
        <w:numFmt w:val="decimal"/>
        <w:lvlText w:val="%1."/>
        <w:lvlJc w:val="left"/>
      </w:lvl>
    </w:lvlOverride>
  </w:num>
  <w:num w:numId="33" w16cid:durableId="425613072">
    <w:abstractNumId w:val="25"/>
    <w:lvlOverride w:ilvl="0">
      <w:lvl w:ilvl="0">
        <w:numFmt w:val="decimal"/>
        <w:lvlText w:val="%1."/>
        <w:lvlJc w:val="left"/>
      </w:lvl>
    </w:lvlOverride>
  </w:num>
  <w:num w:numId="34" w16cid:durableId="541786663">
    <w:abstractNumId w:val="31"/>
    <w:lvlOverride w:ilvl="0">
      <w:lvl w:ilvl="0">
        <w:numFmt w:val="decimal"/>
        <w:lvlText w:val="%1."/>
        <w:lvlJc w:val="left"/>
      </w:lvl>
    </w:lvlOverride>
  </w:num>
  <w:num w:numId="35" w16cid:durableId="1440373817">
    <w:abstractNumId w:val="20"/>
  </w:num>
  <w:num w:numId="36" w16cid:durableId="492726493">
    <w:abstractNumId w:val="14"/>
    <w:lvlOverride w:ilvl="0">
      <w:lvl w:ilvl="0">
        <w:numFmt w:val="decimal"/>
        <w:lvlText w:val="%1."/>
        <w:lvlJc w:val="left"/>
      </w:lvl>
    </w:lvlOverride>
  </w:num>
  <w:num w:numId="37" w16cid:durableId="1280457696">
    <w:abstractNumId w:val="1"/>
  </w:num>
  <w:num w:numId="38" w16cid:durableId="557589858">
    <w:abstractNumId w:val="11"/>
    <w:lvlOverride w:ilvl="0">
      <w:lvl w:ilvl="0">
        <w:numFmt w:val="upperRoman"/>
        <w:lvlText w:val="%1."/>
        <w:lvlJc w:val="righ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108D8"/>
    <w:rsid w:val="00015803"/>
    <w:rsid w:val="0005202D"/>
    <w:rsid w:val="00087E55"/>
    <w:rsid w:val="000916B6"/>
    <w:rsid w:val="00095970"/>
    <w:rsid w:val="000A09C1"/>
    <w:rsid w:val="000A408C"/>
    <w:rsid w:val="000B690D"/>
    <w:rsid w:val="000D799D"/>
    <w:rsid w:val="000E5D1C"/>
    <w:rsid w:val="000F360F"/>
    <w:rsid w:val="000F5255"/>
    <w:rsid w:val="0010251B"/>
    <w:rsid w:val="00132439"/>
    <w:rsid w:val="00134EDE"/>
    <w:rsid w:val="00154F15"/>
    <w:rsid w:val="00156A3E"/>
    <w:rsid w:val="00161740"/>
    <w:rsid w:val="0016179D"/>
    <w:rsid w:val="00170BC4"/>
    <w:rsid w:val="00180A38"/>
    <w:rsid w:val="00184325"/>
    <w:rsid w:val="001919AF"/>
    <w:rsid w:val="0019485F"/>
    <w:rsid w:val="001C1D40"/>
    <w:rsid w:val="001D62B8"/>
    <w:rsid w:val="001E12CC"/>
    <w:rsid w:val="002036A4"/>
    <w:rsid w:val="00206F46"/>
    <w:rsid w:val="00227A39"/>
    <w:rsid w:val="002318AF"/>
    <w:rsid w:val="00256B1D"/>
    <w:rsid w:val="002677DC"/>
    <w:rsid w:val="0027033C"/>
    <w:rsid w:val="0029542D"/>
    <w:rsid w:val="002A6FFE"/>
    <w:rsid w:val="002C04FE"/>
    <w:rsid w:val="002E2142"/>
    <w:rsid w:val="002E4953"/>
    <w:rsid w:val="0030476A"/>
    <w:rsid w:val="00304EE5"/>
    <w:rsid w:val="00330DC8"/>
    <w:rsid w:val="0034181C"/>
    <w:rsid w:val="00363222"/>
    <w:rsid w:val="00370465"/>
    <w:rsid w:val="00392C53"/>
    <w:rsid w:val="003A5D3F"/>
    <w:rsid w:val="003B3309"/>
    <w:rsid w:val="003C1621"/>
    <w:rsid w:val="003D416E"/>
    <w:rsid w:val="003D76D7"/>
    <w:rsid w:val="003E1335"/>
    <w:rsid w:val="00406D03"/>
    <w:rsid w:val="00412C3E"/>
    <w:rsid w:val="0042575F"/>
    <w:rsid w:val="00462E90"/>
    <w:rsid w:val="00477F45"/>
    <w:rsid w:val="004A4C4E"/>
    <w:rsid w:val="004B78A9"/>
    <w:rsid w:val="004C340D"/>
    <w:rsid w:val="004D146C"/>
    <w:rsid w:val="004E0D31"/>
    <w:rsid w:val="004E61F3"/>
    <w:rsid w:val="0050162A"/>
    <w:rsid w:val="0052697D"/>
    <w:rsid w:val="00540825"/>
    <w:rsid w:val="00556192"/>
    <w:rsid w:val="005A15FF"/>
    <w:rsid w:val="005B0815"/>
    <w:rsid w:val="005C1A7C"/>
    <w:rsid w:val="005C7CAD"/>
    <w:rsid w:val="006006B2"/>
    <w:rsid w:val="006071FE"/>
    <w:rsid w:val="00626EE3"/>
    <w:rsid w:val="00627CCD"/>
    <w:rsid w:val="00631824"/>
    <w:rsid w:val="006322C1"/>
    <w:rsid w:val="006770F8"/>
    <w:rsid w:val="00687909"/>
    <w:rsid w:val="006A3D09"/>
    <w:rsid w:val="006B77FF"/>
    <w:rsid w:val="006C0425"/>
    <w:rsid w:val="006C3B4E"/>
    <w:rsid w:val="006C5FF5"/>
    <w:rsid w:val="006C69AE"/>
    <w:rsid w:val="006D644F"/>
    <w:rsid w:val="00720D6F"/>
    <w:rsid w:val="00734C42"/>
    <w:rsid w:val="007421E3"/>
    <w:rsid w:val="00745330"/>
    <w:rsid w:val="0078195E"/>
    <w:rsid w:val="007970A7"/>
    <w:rsid w:val="007B74AD"/>
    <w:rsid w:val="007C521B"/>
    <w:rsid w:val="007D58FF"/>
    <w:rsid w:val="007D77D1"/>
    <w:rsid w:val="007E5888"/>
    <w:rsid w:val="007F1DB3"/>
    <w:rsid w:val="007F5E00"/>
    <w:rsid w:val="00831EE7"/>
    <w:rsid w:val="00834146"/>
    <w:rsid w:val="00871B4C"/>
    <w:rsid w:val="008920C6"/>
    <w:rsid w:val="008E379C"/>
    <w:rsid w:val="008F2306"/>
    <w:rsid w:val="0090412A"/>
    <w:rsid w:val="00904BC1"/>
    <w:rsid w:val="009066A7"/>
    <w:rsid w:val="009068C0"/>
    <w:rsid w:val="00906E16"/>
    <w:rsid w:val="00907F1C"/>
    <w:rsid w:val="009113DE"/>
    <w:rsid w:val="00915B7F"/>
    <w:rsid w:val="00924BF6"/>
    <w:rsid w:val="009307EA"/>
    <w:rsid w:val="00932C27"/>
    <w:rsid w:val="00937C98"/>
    <w:rsid w:val="00942415"/>
    <w:rsid w:val="00942628"/>
    <w:rsid w:val="009446DD"/>
    <w:rsid w:val="00962628"/>
    <w:rsid w:val="00973E97"/>
    <w:rsid w:val="009C12D6"/>
    <w:rsid w:val="009E75CC"/>
    <w:rsid w:val="009F2BA1"/>
    <w:rsid w:val="00A07674"/>
    <w:rsid w:val="00A13C5A"/>
    <w:rsid w:val="00A2234D"/>
    <w:rsid w:val="00A2518E"/>
    <w:rsid w:val="00A301D7"/>
    <w:rsid w:val="00A65FB7"/>
    <w:rsid w:val="00A73D65"/>
    <w:rsid w:val="00A87250"/>
    <w:rsid w:val="00AA4AC1"/>
    <w:rsid w:val="00AC0640"/>
    <w:rsid w:val="00AC594F"/>
    <w:rsid w:val="00AC7321"/>
    <w:rsid w:val="00B22ABA"/>
    <w:rsid w:val="00B3608B"/>
    <w:rsid w:val="00B61B03"/>
    <w:rsid w:val="00B71F34"/>
    <w:rsid w:val="00B72D65"/>
    <w:rsid w:val="00B87C85"/>
    <w:rsid w:val="00BB21A6"/>
    <w:rsid w:val="00BB2DFF"/>
    <w:rsid w:val="00BC169A"/>
    <w:rsid w:val="00BC43BD"/>
    <w:rsid w:val="00BE3BAF"/>
    <w:rsid w:val="00BF29F6"/>
    <w:rsid w:val="00BF4511"/>
    <w:rsid w:val="00C02E98"/>
    <w:rsid w:val="00C13382"/>
    <w:rsid w:val="00C23B9E"/>
    <w:rsid w:val="00C279A3"/>
    <w:rsid w:val="00C30849"/>
    <w:rsid w:val="00C447B3"/>
    <w:rsid w:val="00C465FE"/>
    <w:rsid w:val="00C67047"/>
    <w:rsid w:val="00C8003F"/>
    <w:rsid w:val="00C90CED"/>
    <w:rsid w:val="00C918A3"/>
    <w:rsid w:val="00C97E4C"/>
    <w:rsid w:val="00CB7D4F"/>
    <w:rsid w:val="00CE3E99"/>
    <w:rsid w:val="00CF41D4"/>
    <w:rsid w:val="00D056BE"/>
    <w:rsid w:val="00D1354D"/>
    <w:rsid w:val="00D20C38"/>
    <w:rsid w:val="00D20E67"/>
    <w:rsid w:val="00D367A9"/>
    <w:rsid w:val="00D4733C"/>
    <w:rsid w:val="00D53D98"/>
    <w:rsid w:val="00D57E82"/>
    <w:rsid w:val="00D61FB3"/>
    <w:rsid w:val="00D63FEA"/>
    <w:rsid w:val="00D65C83"/>
    <w:rsid w:val="00D7195A"/>
    <w:rsid w:val="00D725F4"/>
    <w:rsid w:val="00D84E05"/>
    <w:rsid w:val="00D97FD6"/>
    <w:rsid w:val="00DA037A"/>
    <w:rsid w:val="00DA1B19"/>
    <w:rsid w:val="00DB53A4"/>
    <w:rsid w:val="00DB7D41"/>
    <w:rsid w:val="00DC389C"/>
    <w:rsid w:val="00E02088"/>
    <w:rsid w:val="00E04CDC"/>
    <w:rsid w:val="00E155A4"/>
    <w:rsid w:val="00E424B6"/>
    <w:rsid w:val="00E61167"/>
    <w:rsid w:val="00E64A75"/>
    <w:rsid w:val="00E72958"/>
    <w:rsid w:val="00E93867"/>
    <w:rsid w:val="00EB407F"/>
    <w:rsid w:val="00EB5E8D"/>
    <w:rsid w:val="00EC571B"/>
    <w:rsid w:val="00EC7CF4"/>
    <w:rsid w:val="00EE053F"/>
    <w:rsid w:val="00EE05D8"/>
    <w:rsid w:val="00EE6B41"/>
    <w:rsid w:val="00F24915"/>
    <w:rsid w:val="00F325D8"/>
    <w:rsid w:val="00F401F9"/>
    <w:rsid w:val="00F47CDE"/>
    <w:rsid w:val="00F745B2"/>
    <w:rsid w:val="00F77049"/>
    <w:rsid w:val="00F8142D"/>
    <w:rsid w:val="00F945F2"/>
    <w:rsid w:val="00FA0465"/>
    <w:rsid w:val="00FA1218"/>
    <w:rsid w:val="00FA1EAE"/>
    <w:rsid w:val="00FA2747"/>
    <w:rsid w:val="00FA524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3663">
      <w:bodyDiv w:val="1"/>
      <w:marLeft w:val="0"/>
      <w:marRight w:val="0"/>
      <w:marTop w:val="0"/>
      <w:marBottom w:val="0"/>
      <w:divBdr>
        <w:top w:val="none" w:sz="0" w:space="0" w:color="auto"/>
        <w:left w:val="none" w:sz="0" w:space="0" w:color="auto"/>
        <w:bottom w:val="none" w:sz="0" w:space="0" w:color="auto"/>
        <w:right w:val="none" w:sz="0" w:space="0" w:color="auto"/>
      </w:divBdr>
    </w:div>
    <w:div w:id="54429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1883</Words>
  <Characters>10361</Characters>
  <Application>Microsoft Office Word</Application>
  <DocSecurity>0</DocSecurity>
  <Lines>86</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Adriana Stephanie Luna Millan</cp:lastModifiedBy>
  <cp:revision>2</cp:revision>
  <cp:lastPrinted>2026-01-07T18:12:00Z</cp:lastPrinted>
  <dcterms:created xsi:type="dcterms:W3CDTF">2026-01-28T19:24:00Z</dcterms:created>
  <dcterms:modified xsi:type="dcterms:W3CDTF">2026-01-28T19:24:00Z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